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FF" w:rsidRDefault="007745FF" w:rsidP="007745FF">
      <w:pPr>
        <w:widowControl/>
        <w:spacing w:line="276" w:lineRule="auto"/>
        <w:jc w:val="center"/>
        <w:rPr>
          <w:rFonts w:ascii="Arial" w:eastAsia="宋体" w:hAnsi="Arial" w:cs="Arial"/>
          <w:b/>
          <w:color w:val="666666"/>
          <w:kern w:val="0"/>
          <w:sz w:val="24"/>
          <w:szCs w:val="24"/>
        </w:rPr>
      </w:pPr>
      <w:r w:rsidRPr="007745FF">
        <w:rPr>
          <w:rFonts w:ascii="Arial" w:eastAsia="宋体" w:hAnsi="Arial" w:cs="Arial" w:hint="eastAsia"/>
          <w:b/>
          <w:color w:val="666666"/>
          <w:kern w:val="0"/>
          <w:sz w:val="24"/>
          <w:szCs w:val="24"/>
        </w:rPr>
        <w:t>抗肿瘤药物临床试验技术指导原则</w:t>
      </w:r>
    </w:p>
    <w:p w:rsidR="007745FF" w:rsidRPr="007745FF" w:rsidRDefault="007745FF" w:rsidP="007745FF">
      <w:pPr>
        <w:widowControl/>
        <w:spacing w:line="276" w:lineRule="auto"/>
        <w:jc w:val="center"/>
        <w:rPr>
          <w:rFonts w:ascii="Arial" w:eastAsia="宋体" w:hAnsi="Arial" w:cs="Arial"/>
          <w:b/>
          <w:color w:val="666666"/>
          <w:kern w:val="0"/>
          <w:sz w:val="24"/>
          <w:szCs w:val="24"/>
        </w:rPr>
      </w:pP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"https://baike.baidu.com/item/%E6%8A%97%E8%82%BF%E7%98%A4%E8%8D%AF"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抗肿瘤药</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物临床试验技术指导原则》由国家食品药品监督管理局于</w:t>
      </w:r>
      <w:r w:rsidRPr="007745FF">
        <w:rPr>
          <w:rFonts w:ascii="Arial" w:eastAsia="宋体" w:hAnsi="Arial" w:cs="Arial"/>
          <w:color w:val="333333"/>
          <w:kern w:val="0"/>
          <w:sz w:val="24"/>
          <w:szCs w:val="24"/>
        </w:rPr>
        <w:t>2012</w:t>
      </w:r>
      <w:r w:rsidRPr="007745FF">
        <w:rPr>
          <w:rFonts w:ascii="Arial" w:eastAsia="宋体" w:hAnsi="Arial" w:cs="Arial"/>
          <w:color w:val="333333"/>
          <w:kern w:val="0"/>
          <w:sz w:val="24"/>
          <w:szCs w:val="24"/>
        </w:rPr>
        <w:t>年</w:t>
      </w: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月</w:t>
      </w:r>
      <w:r w:rsidRPr="007745FF">
        <w:rPr>
          <w:rFonts w:ascii="Arial" w:eastAsia="宋体" w:hAnsi="Arial" w:cs="Arial"/>
          <w:color w:val="333333"/>
          <w:kern w:val="0"/>
          <w:sz w:val="24"/>
          <w:szCs w:val="24"/>
        </w:rPr>
        <w:t>15</w:t>
      </w:r>
      <w:r w:rsidRPr="007745FF">
        <w:rPr>
          <w:rFonts w:ascii="Arial" w:eastAsia="宋体" w:hAnsi="Arial" w:cs="Arial"/>
          <w:color w:val="333333"/>
          <w:kern w:val="0"/>
          <w:sz w:val="24"/>
          <w:szCs w:val="24"/>
        </w:rPr>
        <w:t>日国</w:t>
      </w:r>
      <w:proofErr w:type="gramStart"/>
      <w:r w:rsidRPr="007745FF">
        <w:rPr>
          <w:rFonts w:ascii="Arial" w:eastAsia="宋体" w:hAnsi="Arial" w:cs="Arial"/>
          <w:color w:val="333333"/>
          <w:kern w:val="0"/>
          <w:sz w:val="24"/>
          <w:szCs w:val="24"/>
        </w:rPr>
        <w:t>食药监注</w:t>
      </w:r>
      <w:proofErr w:type="gramEnd"/>
      <w:r w:rsidRPr="007745FF">
        <w:rPr>
          <w:rFonts w:ascii="Arial" w:eastAsia="宋体" w:hAnsi="Arial" w:cs="Arial"/>
          <w:color w:val="333333"/>
          <w:kern w:val="0"/>
          <w:sz w:val="24"/>
          <w:szCs w:val="24"/>
        </w:rPr>
        <w:t>[2012]122</w:t>
      </w:r>
      <w:r w:rsidRPr="007745FF">
        <w:rPr>
          <w:rFonts w:ascii="Arial" w:eastAsia="宋体" w:hAnsi="Arial" w:cs="Arial"/>
          <w:color w:val="333333"/>
          <w:kern w:val="0"/>
          <w:sz w:val="24"/>
          <w:szCs w:val="24"/>
        </w:rPr>
        <w:t>号印发。</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抗</w:t>
      </w:r>
      <w:hyperlink r:id="rId7" w:tgtFrame="_blank" w:history="1">
        <w:r w:rsidRPr="007745FF">
          <w:rPr>
            <w:rFonts w:ascii="Arial" w:eastAsia="宋体" w:hAnsi="Arial" w:cs="Arial"/>
            <w:color w:val="136EC2"/>
            <w:kern w:val="0"/>
            <w:sz w:val="24"/>
            <w:szCs w:val="24"/>
            <w:u w:val="single"/>
          </w:rPr>
          <w:t>肿瘤</w:t>
        </w:r>
      </w:hyperlink>
      <w:hyperlink r:id="rId8" w:tgtFrame="_blank" w:history="1">
        <w:r w:rsidRPr="007745FF">
          <w:rPr>
            <w:rFonts w:ascii="Arial" w:eastAsia="宋体" w:hAnsi="Arial" w:cs="Arial"/>
            <w:color w:val="136EC2"/>
            <w:kern w:val="0"/>
            <w:sz w:val="24"/>
            <w:szCs w:val="24"/>
            <w:u w:val="single"/>
          </w:rPr>
          <w:t>药物</w:t>
        </w:r>
      </w:hyperlink>
      <w:r w:rsidRPr="007745FF">
        <w:rPr>
          <w:rFonts w:ascii="Arial" w:eastAsia="宋体" w:hAnsi="Arial" w:cs="Arial"/>
          <w:color w:val="333333"/>
          <w:kern w:val="0"/>
          <w:sz w:val="24"/>
          <w:szCs w:val="24"/>
        </w:rPr>
        <w:t>临床试验技术指导原则</w:t>
      </w:r>
    </w:p>
    <w:p w:rsidR="007745FF" w:rsidRPr="007745FF" w:rsidRDefault="007745FF" w:rsidP="007745FF">
      <w:pPr>
        <w:widowControl/>
        <w:shd w:val="clear" w:color="auto" w:fill="FFFFFF"/>
        <w:spacing w:line="276" w:lineRule="auto"/>
        <w:jc w:val="left"/>
        <w:rPr>
          <w:rFonts w:ascii="Arial" w:eastAsia="宋体" w:hAnsi="Arial" w:cs="Arial"/>
          <w:b/>
          <w:bCs/>
          <w:color w:val="999999"/>
          <w:kern w:val="0"/>
          <w:sz w:val="24"/>
          <w:szCs w:val="24"/>
        </w:rPr>
      </w:pPr>
      <w:r w:rsidRPr="007745FF">
        <w:rPr>
          <w:rFonts w:ascii="Arial" w:eastAsia="宋体" w:hAnsi="Arial" w:cs="Arial"/>
          <w:b/>
          <w:bCs/>
          <w:color w:val="999999"/>
          <w:kern w:val="0"/>
          <w:sz w:val="24"/>
          <w:szCs w:val="24"/>
        </w:rPr>
        <w:t>中文名</w:t>
      </w:r>
    </w:p>
    <w:p w:rsidR="007745FF" w:rsidRPr="007745FF" w:rsidRDefault="007745FF" w:rsidP="007745FF">
      <w:pPr>
        <w:widowControl/>
        <w:shd w:val="clear" w:color="auto" w:fill="FFFFFF"/>
        <w:wordWrap w:val="0"/>
        <w:spacing w:line="276" w:lineRule="auto"/>
        <w:ind w:left="72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抗肿瘤药物临床试验技术指导原则</w:t>
      </w:r>
    </w:p>
    <w:p w:rsidR="007745FF" w:rsidRPr="007745FF" w:rsidRDefault="007745FF" w:rsidP="007745FF">
      <w:pPr>
        <w:widowControl/>
        <w:shd w:val="clear" w:color="auto" w:fill="FFFFFF"/>
        <w:spacing w:line="276" w:lineRule="auto"/>
        <w:jc w:val="left"/>
        <w:rPr>
          <w:rFonts w:ascii="Arial" w:eastAsia="宋体" w:hAnsi="Arial" w:cs="Arial"/>
          <w:b/>
          <w:bCs/>
          <w:color w:val="999999"/>
          <w:kern w:val="0"/>
          <w:sz w:val="24"/>
          <w:szCs w:val="24"/>
        </w:rPr>
      </w:pPr>
      <w:r w:rsidRPr="007745FF">
        <w:rPr>
          <w:rFonts w:ascii="Arial" w:eastAsia="宋体" w:hAnsi="Arial" w:cs="Arial"/>
          <w:b/>
          <w:bCs/>
          <w:color w:val="999999"/>
          <w:kern w:val="0"/>
          <w:sz w:val="24"/>
          <w:szCs w:val="24"/>
        </w:rPr>
        <w:t>发行单位</w:t>
      </w:r>
    </w:p>
    <w:p w:rsidR="007745FF" w:rsidRPr="007745FF" w:rsidRDefault="007745FF" w:rsidP="007745FF">
      <w:pPr>
        <w:widowControl/>
        <w:shd w:val="clear" w:color="auto" w:fill="FFFFFF"/>
        <w:wordWrap w:val="0"/>
        <w:spacing w:line="276" w:lineRule="auto"/>
        <w:ind w:left="72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国家食品药品监督管理局</w:t>
      </w:r>
    </w:p>
    <w:p w:rsidR="007745FF" w:rsidRPr="007745FF" w:rsidRDefault="007745FF" w:rsidP="007745FF">
      <w:pPr>
        <w:widowControl/>
        <w:shd w:val="clear" w:color="auto" w:fill="FFFFFF"/>
        <w:spacing w:line="276" w:lineRule="auto"/>
        <w:jc w:val="left"/>
        <w:rPr>
          <w:rFonts w:ascii="Arial" w:eastAsia="宋体" w:hAnsi="Arial" w:cs="Arial"/>
          <w:b/>
          <w:bCs/>
          <w:color w:val="999999"/>
          <w:kern w:val="0"/>
          <w:sz w:val="24"/>
          <w:szCs w:val="24"/>
        </w:rPr>
      </w:pPr>
      <w:r w:rsidRPr="007745FF">
        <w:rPr>
          <w:rFonts w:ascii="Arial" w:eastAsia="宋体" w:hAnsi="Arial" w:cs="Arial"/>
          <w:b/>
          <w:bCs/>
          <w:color w:val="999999"/>
          <w:kern w:val="0"/>
          <w:sz w:val="24"/>
          <w:szCs w:val="24"/>
        </w:rPr>
        <w:t>时</w:t>
      </w:r>
      <w:r w:rsidRPr="007745FF">
        <w:rPr>
          <w:rFonts w:ascii="Arial" w:eastAsia="宋体" w:hAnsi="Arial" w:cs="Arial"/>
          <w:b/>
          <w:bCs/>
          <w:color w:val="999999"/>
          <w:kern w:val="0"/>
          <w:sz w:val="24"/>
          <w:szCs w:val="24"/>
        </w:rPr>
        <w:t>    </w:t>
      </w:r>
      <w:r w:rsidRPr="007745FF">
        <w:rPr>
          <w:rFonts w:ascii="Arial" w:eastAsia="宋体" w:hAnsi="Arial" w:cs="Arial"/>
          <w:b/>
          <w:bCs/>
          <w:color w:val="999999"/>
          <w:kern w:val="0"/>
          <w:sz w:val="24"/>
          <w:szCs w:val="24"/>
        </w:rPr>
        <w:t>间</w:t>
      </w:r>
    </w:p>
    <w:p w:rsidR="007745FF" w:rsidRPr="007745FF" w:rsidRDefault="007745FF" w:rsidP="007745FF">
      <w:pPr>
        <w:widowControl/>
        <w:shd w:val="clear" w:color="auto" w:fill="FFFFFF"/>
        <w:wordWrap w:val="0"/>
        <w:spacing w:line="276" w:lineRule="auto"/>
        <w:ind w:left="72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2012</w:t>
      </w:r>
      <w:r w:rsidRPr="007745FF">
        <w:rPr>
          <w:rFonts w:ascii="Arial" w:eastAsia="宋体" w:hAnsi="Arial" w:cs="Arial"/>
          <w:color w:val="333333"/>
          <w:kern w:val="0"/>
          <w:sz w:val="24"/>
          <w:szCs w:val="24"/>
        </w:rPr>
        <w:t>年</w:t>
      </w: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月</w:t>
      </w:r>
      <w:r w:rsidRPr="007745FF">
        <w:rPr>
          <w:rFonts w:ascii="Arial" w:eastAsia="宋体" w:hAnsi="Arial" w:cs="Arial"/>
          <w:color w:val="333333"/>
          <w:kern w:val="0"/>
          <w:sz w:val="24"/>
          <w:szCs w:val="24"/>
        </w:rPr>
        <w:t>15</w:t>
      </w:r>
      <w:r w:rsidRPr="007745FF">
        <w:rPr>
          <w:rFonts w:ascii="Arial" w:eastAsia="宋体" w:hAnsi="Arial" w:cs="Arial"/>
          <w:color w:val="333333"/>
          <w:kern w:val="0"/>
          <w:sz w:val="24"/>
          <w:szCs w:val="24"/>
        </w:rPr>
        <w:t>日</w:t>
      </w:r>
    </w:p>
    <w:p w:rsidR="007745FF" w:rsidRPr="007745FF" w:rsidRDefault="007745FF" w:rsidP="007745FF">
      <w:pPr>
        <w:widowControl/>
        <w:shd w:val="clear" w:color="auto" w:fill="FFFFFF"/>
        <w:spacing w:line="276" w:lineRule="auto"/>
        <w:jc w:val="left"/>
        <w:rPr>
          <w:rFonts w:ascii="Arial" w:eastAsia="宋体" w:hAnsi="Arial" w:cs="Arial"/>
          <w:b/>
          <w:bCs/>
          <w:color w:val="999999"/>
          <w:kern w:val="0"/>
          <w:sz w:val="24"/>
          <w:szCs w:val="24"/>
        </w:rPr>
      </w:pPr>
      <w:r w:rsidRPr="007745FF">
        <w:rPr>
          <w:rFonts w:ascii="Arial" w:eastAsia="宋体" w:hAnsi="Arial" w:cs="Arial"/>
          <w:b/>
          <w:bCs/>
          <w:color w:val="999999"/>
          <w:kern w:val="0"/>
          <w:sz w:val="24"/>
          <w:szCs w:val="24"/>
        </w:rPr>
        <w:t>用</w:t>
      </w:r>
      <w:r w:rsidRPr="007745FF">
        <w:rPr>
          <w:rFonts w:ascii="Arial" w:eastAsia="宋体" w:hAnsi="Arial" w:cs="Arial"/>
          <w:b/>
          <w:bCs/>
          <w:color w:val="999999"/>
          <w:kern w:val="0"/>
          <w:sz w:val="24"/>
          <w:szCs w:val="24"/>
        </w:rPr>
        <w:t>    </w:t>
      </w:r>
      <w:r w:rsidRPr="007745FF">
        <w:rPr>
          <w:rFonts w:ascii="Arial" w:eastAsia="宋体" w:hAnsi="Arial" w:cs="Arial"/>
          <w:b/>
          <w:bCs/>
          <w:color w:val="999999"/>
          <w:kern w:val="0"/>
          <w:sz w:val="24"/>
          <w:szCs w:val="24"/>
        </w:rPr>
        <w:t>途</w:t>
      </w:r>
    </w:p>
    <w:p w:rsidR="007745FF" w:rsidRPr="007745FF" w:rsidRDefault="007745FF" w:rsidP="007745FF">
      <w:pPr>
        <w:widowControl/>
        <w:shd w:val="clear" w:color="auto" w:fill="FFFFFF"/>
        <w:wordWrap w:val="0"/>
        <w:spacing w:line="276" w:lineRule="auto"/>
        <w:ind w:left="72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抗</w:t>
      </w:r>
      <w:hyperlink r:id="rId9" w:tgtFrame="_blank" w:history="1">
        <w:r w:rsidRPr="007745FF">
          <w:rPr>
            <w:rFonts w:ascii="Arial" w:eastAsia="宋体" w:hAnsi="Arial" w:cs="Arial"/>
            <w:color w:val="136EC2"/>
            <w:kern w:val="0"/>
            <w:sz w:val="24"/>
            <w:szCs w:val="24"/>
            <w:u w:val="single"/>
          </w:rPr>
          <w:t>肿瘤</w:t>
        </w:r>
      </w:hyperlink>
      <w:hyperlink r:id="rId10" w:tgtFrame="_blank" w:history="1">
        <w:r w:rsidRPr="007745FF">
          <w:rPr>
            <w:rFonts w:ascii="Arial" w:eastAsia="宋体" w:hAnsi="Arial" w:cs="Arial"/>
            <w:color w:val="136EC2"/>
            <w:kern w:val="0"/>
            <w:sz w:val="24"/>
            <w:szCs w:val="24"/>
            <w:u w:val="single"/>
          </w:rPr>
          <w:t>药物</w:t>
        </w:r>
      </w:hyperlink>
      <w:r w:rsidRPr="007745FF">
        <w:rPr>
          <w:rFonts w:ascii="Arial" w:eastAsia="宋体" w:hAnsi="Arial" w:cs="Arial"/>
          <w:color w:val="333333"/>
          <w:kern w:val="0"/>
          <w:sz w:val="24"/>
          <w:szCs w:val="24"/>
        </w:rPr>
        <w:t>临床试验</w:t>
      </w:r>
    </w:p>
    <w:p w:rsidR="007745FF" w:rsidRPr="007745FF" w:rsidRDefault="007745FF" w:rsidP="007745FF">
      <w:pPr>
        <w:widowControl/>
        <w:shd w:val="clear" w:color="auto" w:fill="FBFBFB"/>
        <w:spacing w:line="276" w:lineRule="auto"/>
        <w:ind w:left="300"/>
        <w:jc w:val="center"/>
        <w:outlineLvl w:val="1"/>
        <w:rPr>
          <w:rFonts w:ascii="Arial" w:eastAsia="宋体" w:hAnsi="Arial" w:cs="Arial"/>
          <w:color w:val="333333"/>
          <w:kern w:val="0"/>
          <w:sz w:val="24"/>
          <w:szCs w:val="24"/>
        </w:rPr>
      </w:pPr>
      <w:r w:rsidRPr="007745FF">
        <w:rPr>
          <w:rFonts w:ascii="Arial" w:eastAsia="宋体" w:hAnsi="Arial" w:cs="Arial"/>
          <w:color w:val="333333"/>
          <w:kern w:val="0"/>
          <w:sz w:val="24"/>
          <w:szCs w:val="24"/>
        </w:rPr>
        <w:t>目录</w:t>
      </w:r>
    </w:p>
    <w:p w:rsidR="007745FF" w:rsidRPr="007745FF" w:rsidRDefault="007745FF" w:rsidP="007745FF">
      <w:pPr>
        <w:widowControl/>
        <w:numPr>
          <w:ilvl w:val="0"/>
          <w:numId w:val="1"/>
        </w:numP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1</w:t>
      </w:r>
      <w:r w:rsidRPr="007745FF">
        <w:rPr>
          <w:rFonts w:ascii="Arial" w:eastAsia="宋体" w:hAnsi="Arial" w:cs="Arial"/>
          <w:color w:val="333333"/>
          <w:kern w:val="0"/>
          <w:sz w:val="24"/>
          <w:szCs w:val="24"/>
        </w:rPr>
        <w:t> </w:t>
      </w:r>
      <w:hyperlink r:id="rId11" w:anchor="1" w:history="1">
        <w:r w:rsidRPr="007745FF">
          <w:rPr>
            <w:rFonts w:ascii="Arial" w:eastAsia="宋体" w:hAnsi="Arial" w:cs="Arial"/>
            <w:color w:val="136EC2"/>
            <w:kern w:val="0"/>
            <w:sz w:val="24"/>
            <w:szCs w:val="24"/>
            <w:u w:val="single"/>
          </w:rPr>
          <w:t>拼音</w:t>
        </w:r>
      </w:hyperlink>
    </w:p>
    <w:p w:rsidR="007745FF" w:rsidRPr="007745FF" w:rsidRDefault="007745FF" w:rsidP="007745FF">
      <w:pPr>
        <w:widowControl/>
        <w:numPr>
          <w:ilvl w:val="0"/>
          <w:numId w:val="1"/>
        </w:numP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2</w:t>
      </w:r>
      <w:r w:rsidRPr="007745FF">
        <w:rPr>
          <w:rFonts w:ascii="Arial" w:eastAsia="宋体" w:hAnsi="Arial" w:cs="Arial"/>
          <w:color w:val="333333"/>
          <w:kern w:val="0"/>
          <w:sz w:val="24"/>
          <w:szCs w:val="24"/>
        </w:rPr>
        <w:t> </w:t>
      </w:r>
      <w:hyperlink r:id="rId12" w:anchor="2" w:history="1">
        <w:r w:rsidRPr="007745FF">
          <w:rPr>
            <w:rFonts w:ascii="Arial" w:eastAsia="宋体" w:hAnsi="Arial" w:cs="Arial"/>
            <w:color w:val="136EC2"/>
            <w:kern w:val="0"/>
            <w:sz w:val="24"/>
            <w:szCs w:val="24"/>
            <w:u w:val="single"/>
          </w:rPr>
          <w:t>概述</w:t>
        </w:r>
      </w:hyperlink>
    </w:p>
    <w:p w:rsidR="007745FF" w:rsidRPr="007745FF" w:rsidRDefault="007745FF" w:rsidP="007745FF">
      <w:pPr>
        <w:widowControl/>
        <w:numPr>
          <w:ilvl w:val="0"/>
          <w:numId w:val="2"/>
        </w:numPr>
        <w:pBdr>
          <w:left w:val="single" w:sz="6" w:space="0" w:color="F5F5F5"/>
        </w:pBd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3</w:t>
      </w:r>
      <w:r w:rsidRPr="007745FF">
        <w:rPr>
          <w:rFonts w:ascii="Arial" w:eastAsia="宋体" w:hAnsi="Arial" w:cs="Arial"/>
          <w:color w:val="333333"/>
          <w:kern w:val="0"/>
          <w:sz w:val="24"/>
          <w:szCs w:val="24"/>
        </w:rPr>
        <w:t> </w:t>
      </w:r>
      <w:hyperlink r:id="rId13" w:anchor="3" w:history="1">
        <w:r w:rsidRPr="007745FF">
          <w:rPr>
            <w:rFonts w:ascii="Arial" w:eastAsia="宋体" w:hAnsi="Arial" w:cs="Arial"/>
            <w:color w:val="136EC2"/>
            <w:kern w:val="0"/>
            <w:sz w:val="24"/>
            <w:szCs w:val="24"/>
            <w:u w:val="single"/>
          </w:rPr>
          <w:t>总体考虑</w:t>
        </w:r>
      </w:hyperlink>
    </w:p>
    <w:p w:rsidR="007745FF" w:rsidRPr="007745FF" w:rsidRDefault="007745FF" w:rsidP="007745FF">
      <w:pPr>
        <w:widowControl/>
        <w:numPr>
          <w:ilvl w:val="0"/>
          <w:numId w:val="2"/>
        </w:numPr>
        <w:pBdr>
          <w:left w:val="single" w:sz="6" w:space="0" w:color="F5F5F5"/>
        </w:pBd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4</w:t>
      </w:r>
      <w:r w:rsidRPr="007745FF">
        <w:rPr>
          <w:rFonts w:ascii="Arial" w:eastAsia="宋体" w:hAnsi="Arial" w:cs="Arial"/>
          <w:color w:val="333333"/>
          <w:kern w:val="0"/>
          <w:sz w:val="24"/>
          <w:szCs w:val="24"/>
        </w:rPr>
        <w:t> </w:t>
      </w:r>
      <w:hyperlink r:id="rId14" w:anchor="4" w:history="1">
        <w:r w:rsidRPr="007745FF">
          <w:rPr>
            <w:rFonts w:ascii="Arial" w:eastAsia="宋体" w:hAnsi="Arial" w:cs="Arial"/>
            <w:color w:val="136EC2"/>
            <w:kern w:val="0"/>
            <w:sz w:val="24"/>
            <w:szCs w:val="24"/>
            <w:u w:val="single"/>
          </w:rPr>
          <w:t>研究一般过程</w:t>
        </w:r>
      </w:hyperlink>
    </w:p>
    <w:p w:rsidR="007745FF" w:rsidRPr="007745FF" w:rsidRDefault="007745FF" w:rsidP="007745FF">
      <w:pPr>
        <w:widowControl/>
        <w:numPr>
          <w:ilvl w:val="0"/>
          <w:numId w:val="3"/>
        </w:numPr>
        <w:pBdr>
          <w:left w:val="single" w:sz="6" w:space="0" w:color="F5F5F5"/>
        </w:pBd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5</w:t>
      </w:r>
      <w:r w:rsidRPr="007745FF">
        <w:rPr>
          <w:rFonts w:ascii="Arial" w:eastAsia="宋体" w:hAnsi="Arial" w:cs="Arial"/>
          <w:color w:val="333333"/>
          <w:kern w:val="0"/>
          <w:sz w:val="24"/>
          <w:szCs w:val="24"/>
        </w:rPr>
        <w:t> </w:t>
      </w:r>
      <w:hyperlink r:id="rId15" w:anchor="5" w:history="1">
        <w:r w:rsidRPr="007745FF">
          <w:rPr>
            <w:rFonts w:ascii="Arial" w:eastAsia="宋体" w:hAnsi="Arial" w:cs="Arial"/>
            <w:color w:val="136EC2"/>
            <w:kern w:val="0"/>
            <w:sz w:val="24"/>
            <w:szCs w:val="24"/>
            <w:u w:val="single"/>
          </w:rPr>
          <w:t>临床研究报告</w:t>
        </w:r>
      </w:hyperlink>
    </w:p>
    <w:p w:rsidR="007745FF" w:rsidRPr="007745FF" w:rsidRDefault="007745FF" w:rsidP="007745FF">
      <w:pPr>
        <w:widowControl/>
        <w:numPr>
          <w:ilvl w:val="0"/>
          <w:numId w:val="3"/>
        </w:numPr>
        <w:pBdr>
          <w:left w:val="single" w:sz="6" w:space="0" w:color="F5F5F5"/>
        </w:pBdr>
        <w:shd w:val="clear" w:color="auto" w:fill="FFFFFF"/>
        <w:spacing w:line="276" w:lineRule="auto"/>
        <w:ind w:left="0"/>
        <w:jc w:val="left"/>
        <w:rPr>
          <w:rFonts w:ascii="Arial" w:eastAsia="宋体" w:hAnsi="Arial" w:cs="Arial"/>
          <w:color w:val="333333"/>
          <w:kern w:val="0"/>
          <w:sz w:val="24"/>
          <w:szCs w:val="24"/>
        </w:rPr>
      </w:pPr>
      <w:r w:rsidRPr="007745FF">
        <w:rPr>
          <w:rFonts w:ascii="Arial" w:eastAsia="宋体" w:hAnsi="Arial" w:cs="Arial"/>
          <w:color w:val="63A0DF"/>
          <w:kern w:val="0"/>
          <w:sz w:val="24"/>
          <w:szCs w:val="24"/>
        </w:rPr>
        <w:t>6</w:t>
      </w:r>
      <w:r w:rsidRPr="007745FF">
        <w:rPr>
          <w:rFonts w:ascii="Arial" w:eastAsia="宋体" w:hAnsi="Arial" w:cs="Arial"/>
          <w:color w:val="333333"/>
          <w:kern w:val="0"/>
          <w:sz w:val="24"/>
          <w:szCs w:val="24"/>
        </w:rPr>
        <w:t> </w:t>
      </w:r>
      <w:hyperlink r:id="rId16" w:anchor="6" w:history="1">
        <w:r w:rsidRPr="007745FF">
          <w:rPr>
            <w:rFonts w:ascii="Arial" w:eastAsia="宋体" w:hAnsi="Arial" w:cs="Arial"/>
            <w:color w:val="136EC2"/>
            <w:kern w:val="0"/>
            <w:sz w:val="24"/>
            <w:szCs w:val="24"/>
            <w:u w:val="single"/>
          </w:rPr>
          <w:t>上市要求</w:t>
        </w:r>
      </w:hyperlink>
    </w:p>
    <w:p w:rsidR="007745FF" w:rsidRPr="007745FF" w:rsidRDefault="007745FF" w:rsidP="007745FF">
      <w:pPr>
        <w:widowControl/>
        <w:shd w:val="clear" w:color="auto" w:fill="FFFFFF"/>
        <w:spacing w:line="276" w:lineRule="auto"/>
        <w:jc w:val="left"/>
        <w:outlineLvl w:val="1"/>
        <w:rPr>
          <w:rFonts w:ascii="微软雅黑" w:eastAsia="微软雅黑" w:hAnsi="微软雅黑" w:cs="宋体"/>
          <w:color w:val="000000"/>
          <w:kern w:val="0"/>
          <w:sz w:val="24"/>
          <w:szCs w:val="24"/>
        </w:rPr>
      </w:pPr>
      <w:bookmarkStart w:id="0" w:name="1"/>
      <w:bookmarkStart w:id="1" w:name="sub9337671_1"/>
      <w:bookmarkStart w:id="2" w:name="拼音"/>
      <w:bookmarkStart w:id="3" w:name="2"/>
      <w:bookmarkStart w:id="4" w:name="sub9337671_2"/>
      <w:bookmarkStart w:id="5" w:name="概述"/>
      <w:bookmarkEnd w:id="0"/>
      <w:bookmarkEnd w:id="1"/>
      <w:bookmarkEnd w:id="2"/>
      <w:bookmarkEnd w:id="3"/>
      <w:bookmarkEnd w:id="4"/>
      <w:bookmarkEnd w:id="5"/>
      <w:r w:rsidRPr="007745FF">
        <w:rPr>
          <w:rFonts w:ascii="微软雅黑" w:eastAsia="微软雅黑" w:hAnsi="微软雅黑" w:cs="宋体" w:hint="eastAsia"/>
          <w:color w:val="000000"/>
          <w:kern w:val="0"/>
          <w:sz w:val="24"/>
          <w:szCs w:val="24"/>
        </w:rPr>
        <w:t>概述</w:t>
      </w:r>
    </w:p>
    <w:p w:rsidR="007745FF" w:rsidRPr="007745FF" w:rsidRDefault="00721E66" w:rsidP="007745FF">
      <w:pPr>
        <w:widowControl/>
        <w:shd w:val="clear" w:color="auto" w:fill="FFFFFF"/>
        <w:spacing w:line="276" w:lineRule="auto"/>
        <w:ind w:firstLine="480"/>
        <w:jc w:val="left"/>
        <w:rPr>
          <w:rFonts w:ascii="Arial" w:eastAsia="宋体" w:hAnsi="Arial" w:cs="Arial"/>
          <w:color w:val="333333"/>
          <w:kern w:val="0"/>
          <w:sz w:val="24"/>
          <w:szCs w:val="24"/>
        </w:rPr>
      </w:pPr>
      <w:hyperlink r:id="rId17" w:tgtFrame="_blank" w:history="1">
        <w:r w:rsidR="007745FF" w:rsidRPr="007745FF">
          <w:rPr>
            <w:rFonts w:ascii="Arial" w:eastAsia="宋体" w:hAnsi="Arial" w:cs="Arial"/>
            <w:color w:val="136EC2"/>
            <w:kern w:val="0"/>
            <w:sz w:val="24"/>
            <w:szCs w:val="24"/>
            <w:u w:val="single"/>
          </w:rPr>
          <w:t>恶性肿瘤</w:t>
        </w:r>
      </w:hyperlink>
      <w:r w:rsidR="007745FF" w:rsidRPr="007745FF">
        <w:rPr>
          <w:rFonts w:ascii="Arial" w:eastAsia="宋体" w:hAnsi="Arial" w:cs="Arial"/>
          <w:color w:val="333333"/>
          <w:kern w:val="0"/>
          <w:sz w:val="24"/>
          <w:szCs w:val="24"/>
        </w:rPr>
        <w:t>是严重威胁人类</w:t>
      </w:r>
      <w:hyperlink r:id="rId18" w:tgtFrame="_blank" w:history="1">
        <w:r w:rsidR="007745FF" w:rsidRPr="007745FF">
          <w:rPr>
            <w:rFonts w:ascii="Arial" w:eastAsia="宋体" w:hAnsi="Arial" w:cs="Arial"/>
            <w:color w:val="136EC2"/>
            <w:kern w:val="0"/>
            <w:sz w:val="24"/>
            <w:szCs w:val="24"/>
            <w:u w:val="single"/>
          </w:rPr>
          <w:t>生命</w:t>
        </w:r>
      </w:hyperlink>
      <w:r w:rsidR="007745FF" w:rsidRPr="007745FF">
        <w:rPr>
          <w:rFonts w:ascii="Arial" w:eastAsia="宋体" w:hAnsi="Arial" w:cs="Arial"/>
          <w:color w:val="333333"/>
          <w:kern w:val="0"/>
          <w:sz w:val="24"/>
          <w:szCs w:val="24"/>
        </w:rPr>
        <w:t>的一类疾病，尽管现有治疗手段取得了一定疗效，但多数肿瘤患者生存时间有限，缺乏有效的可以</w:t>
      </w:r>
      <w:hyperlink r:id="rId19" w:tgtFrame="_blank" w:history="1">
        <w:r w:rsidR="007745FF" w:rsidRPr="007745FF">
          <w:rPr>
            <w:rFonts w:ascii="Arial" w:eastAsia="宋体" w:hAnsi="Arial" w:cs="Arial"/>
            <w:color w:val="136EC2"/>
            <w:kern w:val="0"/>
            <w:sz w:val="24"/>
            <w:szCs w:val="24"/>
            <w:u w:val="single"/>
          </w:rPr>
          <w:t>治愈</w:t>
        </w:r>
      </w:hyperlink>
      <w:r w:rsidR="007745FF" w:rsidRPr="007745FF">
        <w:rPr>
          <w:rFonts w:ascii="Arial" w:eastAsia="宋体" w:hAnsi="Arial" w:cs="Arial"/>
          <w:color w:val="333333"/>
          <w:kern w:val="0"/>
          <w:sz w:val="24"/>
          <w:szCs w:val="24"/>
        </w:rPr>
        <w:t>的药物，亟需开发新的药物来满足</w:t>
      </w:r>
      <w:hyperlink r:id="rId20" w:tgtFrame="_blank" w:history="1">
        <w:r w:rsidR="007745FF" w:rsidRPr="007745FF">
          <w:rPr>
            <w:rFonts w:ascii="Arial" w:eastAsia="宋体" w:hAnsi="Arial" w:cs="Arial"/>
            <w:color w:val="136EC2"/>
            <w:kern w:val="0"/>
            <w:sz w:val="24"/>
            <w:szCs w:val="24"/>
            <w:u w:val="single"/>
          </w:rPr>
          <w:t>需要</w:t>
        </w:r>
      </w:hyperlink>
      <w:r w:rsidR="007745FF" w:rsidRPr="007745FF">
        <w:rPr>
          <w:rFonts w:ascii="Arial" w:eastAsia="宋体" w:hAnsi="Arial" w:cs="Arial"/>
          <w:color w:val="333333"/>
          <w:kern w:val="0"/>
          <w:sz w:val="24"/>
          <w:szCs w:val="24"/>
        </w:rPr>
        <w:t>。在抗肿瘤药物的风险效益</w:t>
      </w:r>
      <w:hyperlink r:id="rId21" w:tgtFrame="_blank" w:history="1">
        <w:r w:rsidR="007745FF" w:rsidRPr="007745FF">
          <w:rPr>
            <w:rFonts w:ascii="Arial" w:eastAsia="宋体" w:hAnsi="Arial" w:cs="Arial"/>
            <w:color w:val="136EC2"/>
            <w:kern w:val="0"/>
            <w:sz w:val="24"/>
            <w:szCs w:val="24"/>
            <w:u w:val="single"/>
          </w:rPr>
          <w:t>评估</w:t>
        </w:r>
      </w:hyperlink>
      <w:r w:rsidR="007745FF" w:rsidRPr="007745FF">
        <w:rPr>
          <w:rFonts w:ascii="Arial" w:eastAsia="宋体" w:hAnsi="Arial" w:cs="Arial"/>
          <w:color w:val="333333"/>
          <w:kern w:val="0"/>
          <w:sz w:val="24"/>
          <w:szCs w:val="24"/>
        </w:rPr>
        <w:t>中，医护人员和患者可能愿意承受相对较大的安全性风险，所以抗肿瘤药物的临床研究除遵循一般药物临床研究原则外，还应考虑其特殊性。由于肿瘤</w:t>
      </w:r>
      <w:hyperlink r:id="rId22" w:tgtFrame="_blank" w:history="1">
        <w:r w:rsidR="007745FF" w:rsidRPr="007745FF">
          <w:rPr>
            <w:rFonts w:ascii="Arial" w:eastAsia="宋体" w:hAnsi="Arial" w:cs="Arial"/>
            <w:color w:val="136EC2"/>
            <w:kern w:val="0"/>
            <w:sz w:val="24"/>
            <w:szCs w:val="24"/>
            <w:u w:val="single"/>
          </w:rPr>
          <w:t>生物学</w:t>
        </w:r>
      </w:hyperlink>
      <w:r w:rsidR="007745FF" w:rsidRPr="007745FF">
        <w:rPr>
          <w:rFonts w:ascii="Arial" w:eastAsia="宋体" w:hAnsi="Arial" w:cs="Arial"/>
          <w:color w:val="333333"/>
          <w:kern w:val="0"/>
          <w:sz w:val="24"/>
          <w:szCs w:val="24"/>
        </w:rPr>
        <w:t>研究的进展，一些新的</w:t>
      </w:r>
      <w:hyperlink r:id="rId23" w:tgtFrame="_blank" w:history="1">
        <w:r w:rsidR="007745FF" w:rsidRPr="007745FF">
          <w:rPr>
            <w:rFonts w:ascii="Arial" w:eastAsia="宋体" w:hAnsi="Arial" w:cs="Arial"/>
            <w:color w:val="136EC2"/>
            <w:kern w:val="0"/>
            <w:sz w:val="24"/>
            <w:szCs w:val="24"/>
            <w:u w:val="single"/>
          </w:rPr>
          <w:t>作用</w:t>
        </w:r>
      </w:hyperlink>
      <w:r w:rsidR="007745FF" w:rsidRPr="007745FF">
        <w:rPr>
          <w:rFonts w:ascii="Arial" w:eastAsia="宋体" w:hAnsi="Arial" w:cs="Arial"/>
          <w:color w:val="333333"/>
          <w:kern w:val="0"/>
          <w:sz w:val="24"/>
          <w:szCs w:val="24"/>
        </w:rPr>
        <w:t>机制、作用靶点的抗肿瘤药物不断涌现，呈现出不同于以往</w:t>
      </w:r>
      <w:hyperlink r:id="rId24" w:tgtFrame="_blank" w:history="1">
        <w:r w:rsidR="007745FF" w:rsidRPr="007745FF">
          <w:rPr>
            <w:rFonts w:ascii="Arial" w:eastAsia="宋体" w:hAnsi="Arial" w:cs="Arial"/>
            <w:color w:val="136EC2"/>
            <w:kern w:val="0"/>
            <w:sz w:val="24"/>
            <w:szCs w:val="24"/>
            <w:u w:val="single"/>
          </w:rPr>
          <w:t>传统</w:t>
        </w:r>
      </w:hyperlink>
      <w:hyperlink r:id="rId25" w:tgtFrame="_blank" w:history="1">
        <w:r w:rsidR="007745FF" w:rsidRPr="007745FF">
          <w:rPr>
            <w:rFonts w:ascii="Arial" w:eastAsia="宋体" w:hAnsi="Arial" w:cs="Arial"/>
            <w:color w:val="136EC2"/>
            <w:kern w:val="0"/>
            <w:sz w:val="24"/>
            <w:szCs w:val="24"/>
            <w:u w:val="single"/>
          </w:rPr>
          <w:t>细胞</w:t>
        </w:r>
      </w:hyperlink>
      <w:r w:rsidR="007745FF" w:rsidRPr="007745FF">
        <w:rPr>
          <w:rFonts w:ascii="Arial" w:eastAsia="宋体" w:hAnsi="Arial" w:cs="Arial"/>
          <w:color w:val="333333"/>
          <w:kern w:val="0"/>
          <w:sz w:val="24"/>
          <w:szCs w:val="24"/>
        </w:rPr>
        <w:t>毒类药物的安全性和有效性特点；肿瘤疾病的药物治疗也从以往的单纯追求肿瘤缩小向延长患者的生存期、提高生存质量转变，这些改变使抗肿瘤药物临床疗效评价终点指标也出现较大改变。因此，传统的抗肿瘤药物开发模式已经变得不适宜，需要更多地探索能加快和促进开发进程的临床研究策略。</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本指导原则将对抗肿瘤药物临床研究一般考虑进行阐述，重点阐述在不同临床研究阶段中需要重点考虑的问题，旨在为抗肿瘤药物临床研究的设计、实施和评价提供</w:t>
      </w:r>
      <w:hyperlink r:id="rId26" w:tgtFrame="_blank" w:history="1">
        <w:r w:rsidRPr="007745FF">
          <w:rPr>
            <w:rFonts w:ascii="Arial" w:eastAsia="宋体" w:hAnsi="Arial" w:cs="Arial"/>
            <w:color w:val="136EC2"/>
            <w:kern w:val="0"/>
            <w:sz w:val="24"/>
            <w:szCs w:val="24"/>
            <w:u w:val="single"/>
          </w:rPr>
          <w:t>方法</w:t>
        </w:r>
      </w:hyperlink>
      <w:r w:rsidRPr="007745FF">
        <w:rPr>
          <w:rFonts w:ascii="Arial" w:eastAsia="宋体" w:hAnsi="Arial" w:cs="Arial"/>
          <w:color w:val="333333"/>
          <w:kern w:val="0"/>
          <w:sz w:val="24"/>
          <w:szCs w:val="24"/>
        </w:rPr>
        <w:t>学指导。申请人在进行临床研究时，还应当参照国家食品药品监督管理局（以下简称</w:t>
      </w:r>
      <w:r w:rsidRPr="007745FF">
        <w:rPr>
          <w:rFonts w:ascii="Arial" w:eastAsia="宋体" w:hAnsi="Arial" w:cs="Arial"/>
          <w:color w:val="333333"/>
          <w:kern w:val="0"/>
          <w:sz w:val="24"/>
          <w:szCs w:val="24"/>
        </w:rPr>
        <w:t>SFDA</w:t>
      </w:r>
      <w:r w:rsidRPr="007745FF">
        <w:rPr>
          <w:rFonts w:ascii="Arial" w:eastAsia="宋体" w:hAnsi="Arial" w:cs="Arial"/>
          <w:color w:val="333333"/>
          <w:kern w:val="0"/>
          <w:sz w:val="24"/>
          <w:szCs w:val="24"/>
        </w:rPr>
        <w:t>）既往发布的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"https://baike.baidu.com/item/%E7%9B%B8%E5%85%B3"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相关</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指导原则和《</w:t>
      </w:r>
      <w:hyperlink r:id="rId27" w:tgtFrame="_blank" w:history="1">
        <w:r w:rsidRPr="007745FF">
          <w:rPr>
            <w:rFonts w:ascii="Arial" w:eastAsia="宋体" w:hAnsi="Arial" w:cs="Arial"/>
            <w:color w:val="136EC2"/>
            <w:kern w:val="0"/>
            <w:sz w:val="24"/>
            <w:szCs w:val="24"/>
            <w:u w:val="single"/>
          </w:rPr>
          <w:t>药物临床试验质量管理规范</w:t>
        </w:r>
      </w:hyperlink>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GCP</w:t>
      </w:r>
      <w:r w:rsidRPr="007745FF">
        <w:rPr>
          <w:rFonts w:ascii="Arial" w:eastAsia="宋体" w:hAnsi="Arial" w:cs="Arial"/>
          <w:color w:val="333333"/>
          <w:kern w:val="0"/>
          <w:sz w:val="24"/>
          <w:szCs w:val="24"/>
        </w:rPr>
        <w:t>）要求进行，对于一般药物临床研究需要遵从的原则以及与其他指导原则重复内容在本文中不再赘述。</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本指导原则主要适用于抗肿瘤新</w:t>
      </w:r>
      <w:hyperlink r:id="rId28" w:tgtFrame="_blank" w:history="1">
        <w:r w:rsidRPr="007745FF">
          <w:rPr>
            <w:rFonts w:ascii="Arial" w:eastAsia="宋体" w:hAnsi="Arial" w:cs="Arial"/>
            <w:color w:val="136EC2"/>
            <w:kern w:val="0"/>
            <w:sz w:val="24"/>
            <w:szCs w:val="24"/>
            <w:u w:val="single"/>
          </w:rPr>
          <w:t>化合物</w:t>
        </w:r>
      </w:hyperlink>
      <w:r w:rsidRPr="007745FF">
        <w:rPr>
          <w:rFonts w:ascii="Arial" w:eastAsia="宋体" w:hAnsi="Arial" w:cs="Arial"/>
          <w:color w:val="333333"/>
          <w:kern w:val="0"/>
          <w:sz w:val="24"/>
          <w:szCs w:val="24"/>
        </w:rPr>
        <w:t>的临床研究，抗肿瘤</w:t>
      </w:r>
      <w:hyperlink r:id="rId29" w:tgtFrame="_blank" w:history="1">
        <w:r w:rsidRPr="007745FF">
          <w:rPr>
            <w:rFonts w:ascii="Arial" w:eastAsia="宋体" w:hAnsi="Arial" w:cs="Arial"/>
            <w:color w:val="136EC2"/>
            <w:kern w:val="0"/>
            <w:sz w:val="24"/>
            <w:szCs w:val="24"/>
            <w:u w:val="single"/>
          </w:rPr>
          <w:t>生物制品</w:t>
        </w:r>
      </w:hyperlink>
      <w:r w:rsidRPr="007745FF">
        <w:rPr>
          <w:rFonts w:ascii="Arial" w:eastAsia="宋体" w:hAnsi="Arial" w:cs="Arial"/>
          <w:color w:val="333333"/>
          <w:kern w:val="0"/>
          <w:sz w:val="24"/>
          <w:szCs w:val="24"/>
        </w:rPr>
        <w:t>也可参考部分内容，不适用于</w:t>
      </w:r>
      <w:hyperlink r:id="rId30" w:tgtFrame="_blank" w:history="1">
        <w:r w:rsidRPr="007745FF">
          <w:rPr>
            <w:rFonts w:ascii="Arial" w:eastAsia="宋体" w:hAnsi="Arial" w:cs="Arial"/>
            <w:color w:val="136EC2"/>
            <w:kern w:val="0"/>
            <w:sz w:val="24"/>
            <w:szCs w:val="24"/>
            <w:u w:val="single"/>
          </w:rPr>
          <w:t>中药</w:t>
        </w:r>
      </w:hyperlink>
      <w:r w:rsidRPr="007745FF">
        <w:rPr>
          <w:rFonts w:ascii="Arial" w:eastAsia="宋体" w:hAnsi="Arial" w:cs="Arial"/>
          <w:color w:val="333333"/>
          <w:kern w:val="0"/>
          <w:sz w:val="24"/>
          <w:szCs w:val="24"/>
        </w:rPr>
        <w:t>制剂。药物类别上主要针对细胞毒类抗肿瘤药物临床研究，由于非细胞毒类药物（如信号</w:t>
      </w:r>
      <w:hyperlink r:id="rId31" w:tgtFrame="_blank" w:history="1">
        <w:r w:rsidRPr="007745FF">
          <w:rPr>
            <w:rFonts w:ascii="Arial" w:eastAsia="宋体" w:hAnsi="Arial" w:cs="Arial"/>
            <w:color w:val="136EC2"/>
            <w:kern w:val="0"/>
            <w:sz w:val="24"/>
            <w:szCs w:val="24"/>
            <w:u w:val="single"/>
          </w:rPr>
          <w:t>传导</w:t>
        </w:r>
      </w:hyperlink>
      <w:hyperlink r:id="rId32" w:tgtFrame="_blank" w:history="1">
        <w:r w:rsidRPr="007745FF">
          <w:rPr>
            <w:rFonts w:ascii="Arial" w:eastAsia="宋体" w:hAnsi="Arial" w:cs="Arial"/>
            <w:color w:val="136EC2"/>
            <w:kern w:val="0"/>
            <w:sz w:val="24"/>
            <w:szCs w:val="24"/>
            <w:u w:val="single"/>
          </w:rPr>
          <w:t>抑制</w:t>
        </w:r>
      </w:hyperlink>
      <w:r w:rsidRPr="007745FF">
        <w:rPr>
          <w:rFonts w:ascii="Arial" w:eastAsia="宋体" w:hAnsi="Arial" w:cs="Arial"/>
          <w:color w:val="333333"/>
          <w:kern w:val="0"/>
          <w:sz w:val="24"/>
          <w:szCs w:val="24"/>
        </w:rPr>
        <w:t>剂，生物</w:t>
      </w:r>
      <w:hyperlink r:id="rId33" w:tgtFrame="_blank" w:history="1">
        <w:r w:rsidRPr="007745FF">
          <w:rPr>
            <w:rFonts w:ascii="Arial" w:eastAsia="宋体" w:hAnsi="Arial" w:cs="Arial"/>
            <w:color w:val="136EC2"/>
            <w:kern w:val="0"/>
            <w:sz w:val="24"/>
            <w:szCs w:val="24"/>
            <w:u w:val="single"/>
          </w:rPr>
          <w:t>反应</w:t>
        </w:r>
      </w:hyperlink>
      <w:r w:rsidRPr="007745FF">
        <w:rPr>
          <w:rFonts w:ascii="Arial" w:eastAsia="宋体" w:hAnsi="Arial" w:cs="Arial"/>
          <w:color w:val="333333"/>
          <w:kern w:val="0"/>
          <w:sz w:val="24"/>
          <w:szCs w:val="24"/>
        </w:rPr>
        <w:t>调节剂，</w:t>
      </w:r>
      <w:hyperlink r:id="rId34" w:tgtFrame="_blank" w:history="1">
        <w:r w:rsidRPr="007745FF">
          <w:rPr>
            <w:rFonts w:ascii="Arial" w:eastAsia="宋体" w:hAnsi="Arial" w:cs="Arial"/>
            <w:color w:val="136EC2"/>
            <w:kern w:val="0"/>
            <w:sz w:val="24"/>
            <w:szCs w:val="24"/>
            <w:u w:val="single"/>
          </w:rPr>
          <w:t>激素</w:t>
        </w:r>
      </w:hyperlink>
      <w:r w:rsidRPr="007745FF">
        <w:rPr>
          <w:rFonts w:ascii="Arial" w:eastAsia="宋体" w:hAnsi="Arial" w:cs="Arial"/>
          <w:color w:val="333333"/>
          <w:kern w:val="0"/>
          <w:sz w:val="24"/>
          <w:szCs w:val="24"/>
        </w:rPr>
        <w:t>类等）是目前新药开发的主要方向，本指导原则也将尽可能对此类别药物临床研究的不同之处进行阐述。</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本指导原则中的观点仅代表</w:t>
      </w:r>
      <w:r w:rsidRPr="007745FF">
        <w:rPr>
          <w:rFonts w:ascii="Arial" w:eastAsia="宋体" w:hAnsi="Arial" w:cs="Arial"/>
          <w:color w:val="333333"/>
          <w:kern w:val="0"/>
          <w:sz w:val="24"/>
          <w:szCs w:val="24"/>
        </w:rPr>
        <w:t>SFDA</w:t>
      </w:r>
      <w:r w:rsidRPr="007745FF">
        <w:rPr>
          <w:rFonts w:ascii="Arial" w:eastAsia="宋体" w:hAnsi="Arial" w:cs="Arial"/>
          <w:color w:val="333333"/>
          <w:kern w:val="0"/>
          <w:sz w:val="24"/>
          <w:szCs w:val="24"/>
        </w:rPr>
        <w:t>当前对抗肿瘤药物临床研究的一般性认识，不能涵盖在新药研发中遇到的所有情况，申请人在研究中应始终坚持具体问题具体</w:t>
      </w:r>
      <w:hyperlink r:id="rId35" w:tgtFrame="_blank" w:history="1">
        <w:r w:rsidRPr="007745FF">
          <w:rPr>
            <w:rFonts w:ascii="Arial" w:eastAsia="宋体" w:hAnsi="Arial" w:cs="Arial"/>
            <w:color w:val="136EC2"/>
            <w:kern w:val="0"/>
            <w:sz w:val="24"/>
            <w:szCs w:val="24"/>
            <w:u w:val="single"/>
          </w:rPr>
          <w:t>分析</w:t>
        </w:r>
      </w:hyperlink>
      <w:r w:rsidRPr="007745FF">
        <w:rPr>
          <w:rFonts w:ascii="Arial" w:eastAsia="宋体" w:hAnsi="Arial" w:cs="Arial"/>
          <w:color w:val="333333"/>
          <w:kern w:val="0"/>
          <w:sz w:val="24"/>
          <w:szCs w:val="24"/>
        </w:rPr>
        <w:t>的原则。尤其应</w:t>
      </w:r>
      <w:hyperlink r:id="rId36" w:tgtFrame="_blank" w:history="1">
        <w:r w:rsidRPr="007745FF">
          <w:rPr>
            <w:rFonts w:ascii="Arial" w:eastAsia="宋体" w:hAnsi="Arial" w:cs="Arial"/>
            <w:color w:val="136EC2"/>
            <w:kern w:val="0"/>
            <w:sz w:val="24"/>
            <w:szCs w:val="24"/>
            <w:u w:val="single"/>
          </w:rPr>
          <w:t>注意</w:t>
        </w:r>
      </w:hyperlink>
      <w:r w:rsidRPr="007745FF">
        <w:rPr>
          <w:rFonts w:ascii="Arial" w:eastAsia="宋体" w:hAnsi="Arial" w:cs="Arial"/>
          <w:color w:val="333333"/>
          <w:kern w:val="0"/>
          <w:sz w:val="24"/>
          <w:szCs w:val="24"/>
        </w:rPr>
        <w:t>的是，抗肿瘤药物研究理论和技术的快速发展，很可能对将来抗肿瘤药物开发模式产生影响，因此申请人可以积极探索更为</w:t>
      </w:r>
      <w:hyperlink r:id="rId37" w:tgtFrame="_blank" w:history="1">
        <w:r w:rsidRPr="007745FF">
          <w:rPr>
            <w:rFonts w:ascii="Arial" w:eastAsia="宋体" w:hAnsi="Arial" w:cs="Arial"/>
            <w:color w:val="136EC2"/>
            <w:kern w:val="0"/>
            <w:sz w:val="24"/>
            <w:szCs w:val="24"/>
            <w:u w:val="single"/>
          </w:rPr>
          <w:t>科学</w:t>
        </w:r>
      </w:hyperlink>
      <w:r w:rsidRPr="007745FF">
        <w:rPr>
          <w:rFonts w:ascii="Arial" w:eastAsia="宋体" w:hAnsi="Arial" w:cs="Arial"/>
          <w:color w:val="333333"/>
          <w:kern w:val="0"/>
          <w:sz w:val="24"/>
          <w:szCs w:val="24"/>
        </w:rPr>
        <w:t>合理的研究方法，并及时寻求</w:t>
      </w:r>
      <w:r w:rsidRPr="007745FF">
        <w:rPr>
          <w:rFonts w:ascii="Arial" w:eastAsia="宋体" w:hAnsi="Arial" w:cs="Arial"/>
          <w:color w:val="333333"/>
          <w:kern w:val="0"/>
          <w:sz w:val="24"/>
          <w:szCs w:val="24"/>
        </w:rPr>
        <w:t>SFDA</w:t>
      </w:r>
      <w:r w:rsidRPr="007745FF">
        <w:rPr>
          <w:rFonts w:ascii="Arial" w:eastAsia="宋体" w:hAnsi="Arial" w:cs="Arial"/>
          <w:color w:val="333333"/>
          <w:kern w:val="0"/>
          <w:sz w:val="24"/>
          <w:szCs w:val="24"/>
        </w:rPr>
        <w:t>药品注册部门的建议。</w:t>
      </w:r>
    </w:p>
    <w:p w:rsidR="007745FF" w:rsidRPr="007745FF" w:rsidRDefault="007745FF" w:rsidP="007745FF">
      <w:pPr>
        <w:widowControl/>
        <w:shd w:val="clear" w:color="auto" w:fill="FFFFFF"/>
        <w:spacing w:line="276" w:lineRule="auto"/>
        <w:jc w:val="left"/>
        <w:outlineLvl w:val="1"/>
        <w:rPr>
          <w:rFonts w:ascii="微软雅黑" w:eastAsia="微软雅黑" w:hAnsi="微软雅黑" w:cs="宋体"/>
          <w:color w:val="000000"/>
          <w:kern w:val="0"/>
          <w:sz w:val="24"/>
          <w:szCs w:val="24"/>
        </w:rPr>
      </w:pPr>
      <w:bookmarkStart w:id="6" w:name="3"/>
      <w:bookmarkStart w:id="7" w:name="sub9337671_3"/>
      <w:bookmarkStart w:id="8" w:name="总体考虑"/>
      <w:bookmarkEnd w:id="6"/>
      <w:bookmarkEnd w:id="7"/>
      <w:bookmarkEnd w:id="8"/>
      <w:r w:rsidRPr="007745FF">
        <w:rPr>
          <w:rFonts w:ascii="微软雅黑" w:eastAsia="微软雅黑" w:hAnsi="微软雅黑" w:cs="宋体" w:hint="eastAsia"/>
          <w:color w:val="000000"/>
          <w:kern w:val="0"/>
          <w:sz w:val="24"/>
          <w:szCs w:val="24"/>
        </w:rPr>
        <w:t>总体考虑</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抗肿瘤药物的临床研究过程通常分为</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期和</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期临床试验主要目的是对药物的</w:t>
      </w:r>
      <w:hyperlink r:id="rId38" w:tgtFrame="_blank" w:history="1">
        <w:r w:rsidRPr="007745FF">
          <w:rPr>
            <w:rFonts w:ascii="Arial" w:eastAsia="宋体" w:hAnsi="Arial" w:cs="Arial"/>
            <w:color w:val="136EC2"/>
            <w:kern w:val="0"/>
            <w:sz w:val="24"/>
            <w:szCs w:val="24"/>
            <w:u w:val="single"/>
          </w:rPr>
          <w:t>耐受性</w:t>
        </w:r>
      </w:hyperlink>
      <w:r w:rsidRPr="007745FF">
        <w:rPr>
          <w:rFonts w:ascii="Arial" w:eastAsia="宋体" w:hAnsi="Arial" w:cs="Arial"/>
          <w:color w:val="333333"/>
          <w:kern w:val="0"/>
          <w:sz w:val="24"/>
          <w:szCs w:val="24"/>
        </w:rPr>
        <w:t>、</w:t>
      </w:r>
      <w:hyperlink r:id="rId39" w:tgtFrame="_blank" w:history="1">
        <w:r w:rsidRPr="007745FF">
          <w:rPr>
            <w:rFonts w:ascii="Arial" w:eastAsia="宋体" w:hAnsi="Arial" w:cs="Arial"/>
            <w:color w:val="136EC2"/>
            <w:kern w:val="0"/>
            <w:sz w:val="24"/>
            <w:szCs w:val="24"/>
            <w:u w:val="single"/>
          </w:rPr>
          <w:t>药代动力学</w:t>
        </w:r>
      </w:hyperlink>
      <w:r w:rsidRPr="007745FF">
        <w:rPr>
          <w:rFonts w:ascii="Arial" w:eastAsia="宋体" w:hAnsi="Arial" w:cs="Arial"/>
          <w:color w:val="333333"/>
          <w:kern w:val="0"/>
          <w:sz w:val="24"/>
          <w:szCs w:val="24"/>
        </w:rPr>
        <w:t>进行初步研究，为</w:t>
      </w:r>
      <w:hyperlink r:id="rId40" w:tgtFrame="_blank" w:history="1">
        <w:r w:rsidRPr="007745FF">
          <w:rPr>
            <w:rFonts w:ascii="Arial" w:eastAsia="宋体" w:hAnsi="Arial" w:cs="Arial"/>
            <w:color w:val="136EC2"/>
            <w:kern w:val="0"/>
            <w:sz w:val="24"/>
            <w:szCs w:val="24"/>
            <w:u w:val="single"/>
          </w:rPr>
          <w:t>后期</w:t>
        </w:r>
      </w:hyperlink>
      <w:r w:rsidRPr="007745FF">
        <w:rPr>
          <w:rFonts w:ascii="Arial" w:eastAsia="宋体" w:hAnsi="Arial" w:cs="Arial"/>
          <w:color w:val="333333"/>
          <w:kern w:val="0"/>
          <w:sz w:val="24"/>
          <w:szCs w:val="24"/>
        </w:rPr>
        <w:t>研究给药方案的设计提供数据支持；</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期临床试验主要是探索性的研究，如给药剂量探索、给药方案探索、瘤肿有效性探索等，同时也观察安全性；</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期临床试验则在</w:t>
      </w:r>
      <w:r w:rsidRPr="007745FF">
        <w:rPr>
          <w:rFonts w:ascii="宋体" w:eastAsia="宋体" w:hAnsi="宋体" w:cs="宋体" w:hint="eastAsia"/>
          <w:color w:val="333333"/>
          <w:kern w:val="0"/>
          <w:sz w:val="24"/>
          <w:szCs w:val="24"/>
        </w:rPr>
        <w:t>Ⅱ</w:t>
      </w:r>
      <w:proofErr w:type="gramStart"/>
      <w:r w:rsidRPr="007745FF">
        <w:rPr>
          <w:rFonts w:ascii="Arial" w:eastAsia="宋体" w:hAnsi="Arial" w:cs="Arial"/>
          <w:color w:val="333333"/>
          <w:kern w:val="0"/>
          <w:sz w:val="24"/>
          <w:szCs w:val="24"/>
        </w:rPr>
        <w:t>期基础</w:t>
      </w:r>
      <w:proofErr w:type="gramEnd"/>
      <w:r w:rsidRPr="007745FF">
        <w:rPr>
          <w:rFonts w:ascii="Arial" w:eastAsia="宋体" w:hAnsi="Arial" w:cs="Arial"/>
          <w:color w:val="333333"/>
          <w:kern w:val="0"/>
          <w:sz w:val="24"/>
          <w:szCs w:val="24"/>
        </w:rPr>
        <w:t>上进一步确证肿瘤患者临床获益情况，为获得上市许可提供足够证据。</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需要指出，这种临床研究的分期并不是固定的开发顺序。在本指导原则中，尽管对</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期探索性试验和</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期确证性试验区别对待，但统计假设的建立和检验也可以成为</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期临床试验的一部分，同样，部分探索性研究也可能成为</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期临床试验的一部分。</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期临床试验需要提供生存获益的疗效数据，试验</w:t>
      </w:r>
      <w:hyperlink r:id="rId41" w:tgtFrame="_blank" w:history="1">
        <w:r w:rsidRPr="007745FF">
          <w:rPr>
            <w:rFonts w:ascii="Arial" w:eastAsia="宋体" w:hAnsi="Arial" w:cs="Arial"/>
            <w:color w:val="136EC2"/>
            <w:kern w:val="0"/>
            <w:sz w:val="24"/>
            <w:szCs w:val="24"/>
            <w:u w:val="single"/>
          </w:rPr>
          <w:t>周期</w:t>
        </w:r>
      </w:hyperlink>
      <w:r w:rsidRPr="007745FF">
        <w:rPr>
          <w:rFonts w:ascii="Arial" w:eastAsia="宋体" w:hAnsi="Arial" w:cs="Arial"/>
          <w:color w:val="333333"/>
          <w:kern w:val="0"/>
          <w:sz w:val="24"/>
          <w:szCs w:val="24"/>
        </w:rPr>
        <w:t>较长，因此可以采用探索的开发模式，按照预定的</w:t>
      </w:r>
      <w:hyperlink r:id="rId42" w:tgtFrame="_blank" w:history="1">
        <w:r w:rsidRPr="007745FF">
          <w:rPr>
            <w:rFonts w:ascii="Arial" w:eastAsia="宋体" w:hAnsi="Arial" w:cs="Arial"/>
            <w:color w:val="136EC2"/>
            <w:kern w:val="0"/>
            <w:sz w:val="24"/>
            <w:szCs w:val="24"/>
            <w:u w:val="single"/>
          </w:rPr>
          <w:t>中期</w:t>
        </w:r>
      </w:hyperlink>
      <w:r w:rsidRPr="007745FF">
        <w:rPr>
          <w:rFonts w:ascii="Arial" w:eastAsia="宋体" w:hAnsi="Arial" w:cs="Arial"/>
          <w:color w:val="333333"/>
          <w:kern w:val="0"/>
          <w:sz w:val="24"/>
          <w:szCs w:val="24"/>
        </w:rPr>
        <w:t>分析计划，依据不断积累的</w:t>
      </w:r>
      <w:hyperlink r:id="rId43" w:tgtFrame="_blank" w:history="1">
        <w:r w:rsidRPr="007745FF">
          <w:rPr>
            <w:rFonts w:ascii="Arial" w:eastAsia="宋体" w:hAnsi="Arial" w:cs="Arial"/>
            <w:color w:val="136EC2"/>
            <w:kern w:val="0"/>
            <w:sz w:val="24"/>
            <w:szCs w:val="24"/>
            <w:u w:val="single"/>
          </w:rPr>
          <w:t>信息</w:t>
        </w:r>
      </w:hyperlink>
      <w:r w:rsidRPr="007745FF">
        <w:rPr>
          <w:rFonts w:ascii="Arial" w:eastAsia="宋体" w:hAnsi="Arial" w:cs="Arial"/>
          <w:color w:val="333333"/>
          <w:kern w:val="0"/>
          <w:sz w:val="24"/>
          <w:szCs w:val="24"/>
        </w:rPr>
        <w:t>，对临床试验方案进行调整。</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应明确每项临床试验的主要目的，各期临床试验间应进行合理衔接和有效地推进，依据</w:t>
      </w:r>
      <w:hyperlink r:id="rId44" w:tgtFrame="_blank" w:history="1">
        <w:r w:rsidRPr="007745FF">
          <w:rPr>
            <w:rFonts w:ascii="Arial" w:eastAsia="宋体" w:hAnsi="Arial" w:cs="Arial"/>
            <w:color w:val="136EC2"/>
            <w:kern w:val="0"/>
            <w:sz w:val="24"/>
            <w:szCs w:val="24"/>
            <w:u w:val="single"/>
          </w:rPr>
          <w:t>前期</w:t>
        </w:r>
      </w:hyperlink>
      <w:r w:rsidRPr="007745FF">
        <w:rPr>
          <w:rFonts w:ascii="Arial" w:eastAsia="宋体" w:hAnsi="Arial" w:cs="Arial"/>
          <w:color w:val="333333"/>
          <w:kern w:val="0"/>
          <w:sz w:val="24"/>
          <w:szCs w:val="24"/>
        </w:rPr>
        <w:t>研究获得信息来设计好下一期的临床试验。尽可能在早期淘汰无效或毒性太大的药物，选择有潜力的药物进行后期的更大规模的临床试验。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由于肿瘤疾病特点和抗肿瘤药物治疗特点，在考虑临床研究总体开发计划时还需要考虑以下几个问题：</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b/>
          <w:bCs/>
          <w:color w:val="333333"/>
          <w:kern w:val="0"/>
          <w:sz w:val="24"/>
          <w:szCs w:val="24"/>
        </w:rPr>
        <w:t>不同受试人群的探索</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由于细胞毒类抗肿瘤药物具有较</w:t>
      </w:r>
      <w:hyperlink r:id="rId45" w:tgtFrame="_blank" w:history="1">
        <w:r w:rsidRPr="007745FF">
          <w:rPr>
            <w:rFonts w:ascii="Arial" w:eastAsia="宋体" w:hAnsi="Arial" w:cs="Arial"/>
            <w:color w:val="136EC2"/>
            <w:kern w:val="0"/>
            <w:sz w:val="24"/>
            <w:szCs w:val="24"/>
            <w:u w:val="single"/>
          </w:rPr>
          <w:t>大毒</w:t>
        </w:r>
      </w:hyperlink>
      <w:r w:rsidRPr="007745FF">
        <w:rPr>
          <w:rFonts w:ascii="Arial" w:eastAsia="宋体" w:hAnsi="Arial" w:cs="Arial"/>
          <w:color w:val="333333"/>
          <w:kern w:val="0"/>
          <w:sz w:val="24"/>
          <w:szCs w:val="24"/>
        </w:rPr>
        <w:t>性，为避免健康受试者遭受不必要的损害，初次进入</w:t>
      </w:r>
      <w:hyperlink r:id="rId46" w:tgtFrame="_blank" w:history="1">
        <w:r w:rsidRPr="007745FF">
          <w:rPr>
            <w:rFonts w:ascii="Arial" w:eastAsia="宋体" w:hAnsi="Arial" w:cs="Arial"/>
            <w:color w:val="136EC2"/>
            <w:kern w:val="0"/>
            <w:sz w:val="24"/>
            <w:szCs w:val="24"/>
            <w:u w:val="single"/>
          </w:rPr>
          <w:t>人体</w:t>
        </w:r>
      </w:hyperlink>
      <w:r w:rsidRPr="007745FF">
        <w:rPr>
          <w:rFonts w:ascii="Arial" w:eastAsia="宋体" w:hAnsi="Arial" w:cs="Arial"/>
          <w:color w:val="333333"/>
          <w:kern w:val="0"/>
          <w:sz w:val="24"/>
          <w:szCs w:val="24"/>
        </w:rPr>
        <w:t>的</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期研究一般应选择肿瘤患者进行。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在临床上已经具备公认有效的标准治疗方法的情况下，肿瘤患者应当采用标准治疗方法作为一线治疗，标准治疗失败或复发的时候，患者才能参加试验药物的临床试验。因此，出于</w:t>
      </w:r>
      <w:hyperlink r:id="rId47" w:tgtFrame="_blank" w:history="1">
        <w:r w:rsidRPr="007745FF">
          <w:rPr>
            <w:rFonts w:ascii="Arial" w:eastAsia="宋体" w:hAnsi="Arial" w:cs="Arial"/>
            <w:color w:val="136EC2"/>
            <w:kern w:val="0"/>
            <w:sz w:val="24"/>
            <w:szCs w:val="24"/>
            <w:u w:val="single"/>
          </w:rPr>
          <w:t>伦理</w:t>
        </w:r>
      </w:hyperlink>
      <w:r w:rsidRPr="007745FF">
        <w:rPr>
          <w:rFonts w:ascii="Arial" w:eastAsia="宋体" w:hAnsi="Arial" w:cs="Arial"/>
          <w:color w:val="333333"/>
          <w:kern w:val="0"/>
          <w:sz w:val="24"/>
          <w:szCs w:val="24"/>
        </w:rPr>
        <w:t>的要求，</w:t>
      </w:r>
      <w:proofErr w:type="gramStart"/>
      <w:r w:rsidRPr="007745FF">
        <w:rPr>
          <w:rFonts w:ascii="Arial" w:eastAsia="宋体" w:hAnsi="Arial" w:cs="Arial"/>
          <w:color w:val="333333"/>
          <w:kern w:val="0"/>
          <w:sz w:val="24"/>
          <w:szCs w:val="24"/>
        </w:rPr>
        <w:t>通常新</w:t>
      </w:r>
      <w:proofErr w:type="gramEnd"/>
      <w:r w:rsidRPr="007745FF">
        <w:rPr>
          <w:rFonts w:ascii="Arial" w:eastAsia="宋体" w:hAnsi="Arial" w:cs="Arial"/>
          <w:color w:val="333333"/>
          <w:kern w:val="0"/>
          <w:sz w:val="24"/>
          <w:szCs w:val="24"/>
        </w:rPr>
        <w:t>的抗肿瘤药</w:t>
      </w:r>
      <w:proofErr w:type="gramStart"/>
      <w:r w:rsidRPr="007745FF">
        <w:rPr>
          <w:rFonts w:ascii="Arial" w:eastAsia="宋体" w:hAnsi="Arial" w:cs="Arial"/>
          <w:color w:val="333333"/>
          <w:kern w:val="0"/>
          <w:sz w:val="24"/>
          <w:szCs w:val="24"/>
        </w:rPr>
        <w:t>物首先</w:t>
      </w:r>
      <w:proofErr w:type="gramEnd"/>
      <w:r w:rsidRPr="007745FF">
        <w:rPr>
          <w:rFonts w:ascii="Arial" w:eastAsia="宋体" w:hAnsi="Arial" w:cs="Arial"/>
          <w:color w:val="333333"/>
          <w:kern w:val="0"/>
          <w:sz w:val="24"/>
          <w:szCs w:val="24"/>
        </w:rPr>
        <w:t>在对标准治疗无效或失败的患者中进行，在获得对三线或二线治疗的肯定疗效后，再逐步向一线治疗推进。对某些药物，根据其作用机制，</w:t>
      </w:r>
      <w:hyperlink r:id="rId48" w:tgtFrame="_blank" w:history="1">
        <w:r w:rsidRPr="007745FF">
          <w:rPr>
            <w:rFonts w:ascii="Arial" w:eastAsia="宋体" w:hAnsi="Arial" w:cs="Arial"/>
            <w:color w:val="136EC2"/>
            <w:kern w:val="0"/>
            <w:sz w:val="24"/>
            <w:szCs w:val="24"/>
            <w:u w:val="single"/>
          </w:rPr>
          <w:t>预期</w:t>
        </w:r>
      </w:hyperlink>
      <w:r w:rsidRPr="007745FF">
        <w:rPr>
          <w:rFonts w:ascii="Arial" w:eastAsia="宋体" w:hAnsi="Arial" w:cs="Arial"/>
          <w:color w:val="333333"/>
          <w:kern w:val="0"/>
          <w:sz w:val="24"/>
          <w:szCs w:val="24"/>
        </w:rPr>
        <w:t>与一线标准治疗联合可能获得协同效果，可能进行与一线标准治疗联合方案的临床试验，此时可选择初治患者进行。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在</w:t>
      </w:r>
      <w:proofErr w:type="gramStart"/>
      <w:r w:rsidRPr="007745FF">
        <w:rPr>
          <w:rFonts w:ascii="Arial" w:eastAsia="宋体" w:hAnsi="Arial" w:cs="Arial"/>
          <w:color w:val="333333"/>
          <w:kern w:val="0"/>
          <w:sz w:val="24"/>
          <w:szCs w:val="24"/>
        </w:rPr>
        <w:t>某些瘤种中</w:t>
      </w:r>
      <w:proofErr w:type="gramEnd"/>
      <w:r w:rsidRPr="007745FF">
        <w:rPr>
          <w:rFonts w:ascii="Arial" w:eastAsia="宋体" w:hAnsi="Arial" w:cs="Arial"/>
          <w:color w:val="333333"/>
          <w:kern w:val="0"/>
          <w:sz w:val="24"/>
          <w:szCs w:val="24"/>
        </w:rPr>
        <w:t>已经明确手术后辅助化疗有利于降低手术后</w:t>
      </w:r>
      <w:hyperlink r:id="rId49" w:tgtFrame="_blank" w:history="1">
        <w:r w:rsidRPr="007745FF">
          <w:rPr>
            <w:rFonts w:ascii="Arial" w:eastAsia="宋体" w:hAnsi="Arial" w:cs="Arial"/>
            <w:color w:val="136EC2"/>
            <w:kern w:val="0"/>
            <w:sz w:val="24"/>
            <w:szCs w:val="24"/>
            <w:u w:val="single"/>
          </w:rPr>
          <w:t>转移</w:t>
        </w:r>
      </w:hyperlink>
      <w:r w:rsidRPr="007745FF">
        <w:rPr>
          <w:rFonts w:ascii="Arial" w:eastAsia="宋体" w:hAnsi="Arial" w:cs="Arial"/>
          <w:color w:val="333333"/>
          <w:kern w:val="0"/>
          <w:sz w:val="24"/>
          <w:szCs w:val="24"/>
        </w:rPr>
        <w:t>复发，新辅助化疗和同期放化疗在一些肿瘤治疗中的应用，也为抗肿瘤药物的多方面应用提供启示，因此在已肯定药物在晚期肿瘤患者中的疗效后，可在适宜的阶段开展临床试验，探索新药与其他治疗方法结合的方式，为扩大临床应用范围提供依据。</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b/>
          <w:bCs/>
          <w:color w:val="333333"/>
          <w:kern w:val="0"/>
          <w:sz w:val="24"/>
          <w:szCs w:val="24"/>
        </w:rPr>
        <w:t>不同给药方案的探索</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通常抗肿瘤药物的疗效和安全性与给药方案密切相关，不同的给药方案（如给药间隔和给药剂量等）可能产生不同的剂量限制性毒性（</w:t>
      </w:r>
      <w:r w:rsidRPr="007745FF">
        <w:rPr>
          <w:rFonts w:ascii="Arial" w:eastAsia="宋体" w:hAnsi="Arial" w:cs="Arial"/>
          <w:color w:val="333333"/>
          <w:kern w:val="0"/>
          <w:sz w:val="24"/>
          <w:szCs w:val="24"/>
        </w:rPr>
        <w:t xml:space="preserve">Dose </w:t>
      </w:r>
      <w:proofErr w:type="spellStart"/>
      <w:r w:rsidRPr="007745FF">
        <w:rPr>
          <w:rFonts w:ascii="Arial" w:eastAsia="宋体" w:hAnsi="Arial" w:cs="Arial"/>
          <w:color w:val="333333"/>
          <w:kern w:val="0"/>
          <w:sz w:val="24"/>
          <w:szCs w:val="24"/>
        </w:rPr>
        <w:t>LimitedToxicity</w:t>
      </w:r>
      <w:proofErr w:type="spellEnd"/>
      <w:r w:rsidRPr="007745FF">
        <w:rPr>
          <w:rFonts w:ascii="Arial" w:eastAsia="宋体" w:hAnsi="Arial" w:cs="Arial"/>
          <w:color w:val="333333"/>
          <w:kern w:val="0"/>
          <w:sz w:val="24"/>
          <w:szCs w:val="24"/>
        </w:rPr>
        <w:t>, DLT</w:t>
      </w:r>
      <w:r w:rsidRPr="007745FF">
        <w:rPr>
          <w:rFonts w:ascii="Arial" w:eastAsia="宋体" w:hAnsi="Arial" w:cs="Arial"/>
          <w:color w:val="333333"/>
          <w:kern w:val="0"/>
          <w:sz w:val="24"/>
          <w:szCs w:val="24"/>
        </w:rPr>
        <w:t>）和</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"https://baike.baidu.com/item/%E6%9C%80%E5%A4%A7%E8%80%90%E5%8F%97%E5%89%82%E9%87%8F"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最大耐受剂量</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Maximal Tolerated Dose </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对于细胞毒类药物而言，在毒性可以耐受的前提下应尽量提高给药的剂量达到最佳疗效，因此临床研究早期宜尽可能对不同的给药方案进行探索，找出能够获得最大疗效且耐受性可以接受的给药方案。对新型的</w:t>
      </w:r>
      <w:hyperlink r:id="rId50" w:tgtFrame="_blank" w:history="1">
        <w:r w:rsidRPr="007745FF">
          <w:rPr>
            <w:rFonts w:ascii="Arial" w:eastAsia="宋体" w:hAnsi="Arial" w:cs="Arial"/>
            <w:color w:val="136EC2"/>
            <w:kern w:val="0"/>
            <w:sz w:val="24"/>
            <w:szCs w:val="24"/>
            <w:u w:val="single"/>
          </w:rPr>
          <w:t>分子</w:t>
        </w:r>
      </w:hyperlink>
      <w:r w:rsidRPr="007745FF">
        <w:rPr>
          <w:rFonts w:ascii="Arial" w:eastAsia="宋体" w:hAnsi="Arial" w:cs="Arial"/>
          <w:color w:val="333333"/>
          <w:kern w:val="0"/>
          <w:sz w:val="24"/>
          <w:szCs w:val="24"/>
        </w:rPr>
        <w:t>靶</w:t>
      </w:r>
      <w:proofErr w:type="gramStart"/>
      <w:r w:rsidRPr="007745FF">
        <w:rPr>
          <w:rFonts w:ascii="Arial" w:eastAsia="宋体" w:hAnsi="Arial" w:cs="Arial"/>
          <w:color w:val="333333"/>
          <w:kern w:val="0"/>
          <w:sz w:val="24"/>
          <w:szCs w:val="24"/>
        </w:rPr>
        <w:t>向治疗</w:t>
      </w:r>
      <w:proofErr w:type="gramEnd"/>
      <w:r w:rsidRPr="007745FF">
        <w:rPr>
          <w:rFonts w:ascii="Arial" w:eastAsia="宋体" w:hAnsi="Arial" w:cs="Arial"/>
          <w:color w:val="333333"/>
          <w:kern w:val="0"/>
          <w:sz w:val="24"/>
          <w:szCs w:val="24"/>
        </w:rPr>
        <w:t>药物而言，其给药方案的探索可能不同于传统的细胞</w:t>
      </w:r>
      <w:hyperlink r:id="rId51" w:tgtFrame="_blank" w:history="1">
        <w:r w:rsidRPr="007745FF">
          <w:rPr>
            <w:rFonts w:ascii="Arial" w:eastAsia="宋体" w:hAnsi="Arial" w:cs="Arial"/>
            <w:color w:val="136EC2"/>
            <w:kern w:val="0"/>
            <w:sz w:val="24"/>
            <w:szCs w:val="24"/>
            <w:u w:val="single"/>
          </w:rPr>
          <w:t>毒药</w:t>
        </w:r>
      </w:hyperlink>
      <w:r w:rsidRPr="007745FF">
        <w:rPr>
          <w:rFonts w:ascii="Arial" w:eastAsia="宋体" w:hAnsi="Arial" w:cs="Arial"/>
          <w:color w:val="333333"/>
          <w:kern w:val="0"/>
          <w:sz w:val="24"/>
          <w:szCs w:val="24"/>
        </w:rPr>
        <w:t>物的方法。</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肿瘤单药治疗容易产生耐药性，因此抗肿瘤药物多采用联合治疗，通过毒性不完全重叠的化合物联合或者产生耐药性的机制不完全重叠的化合物联合应用，可以达到在可接受的毒性水平增加抗肿瘤活性的目的。新的作用机制和作用靶</w:t>
      </w:r>
      <w:hyperlink r:id="rId52" w:tgtFrame="_blank" w:history="1">
        <w:r w:rsidRPr="007745FF">
          <w:rPr>
            <w:rFonts w:ascii="Arial" w:eastAsia="宋体" w:hAnsi="Arial" w:cs="Arial"/>
            <w:color w:val="136EC2"/>
            <w:kern w:val="0"/>
            <w:sz w:val="24"/>
            <w:szCs w:val="24"/>
            <w:u w:val="single"/>
          </w:rPr>
          <w:t>点药</w:t>
        </w:r>
      </w:hyperlink>
      <w:r w:rsidRPr="007745FF">
        <w:rPr>
          <w:rFonts w:ascii="Arial" w:eastAsia="宋体" w:hAnsi="Arial" w:cs="Arial"/>
          <w:color w:val="333333"/>
          <w:kern w:val="0"/>
          <w:sz w:val="24"/>
          <w:szCs w:val="24"/>
        </w:rPr>
        <w:t>物的开发也提供了联合用药的理论基础，比如细胞毒和非细胞毒药物的联合治疗。有些靶</w:t>
      </w:r>
      <w:proofErr w:type="gramStart"/>
      <w:r w:rsidRPr="007745FF">
        <w:rPr>
          <w:rFonts w:ascii="Arial" w:eastAsia="宋体" w:hAnsi="Arial" w:cs="Arial"/>
          <w:color w:val="333333"/>
          <w:kern w:val="0"/>
          <w:sz w:val="24"/>
          <w:szCs w:val="24"/>
        </w:rPr>
        <w:t>向治疗</w:t>
      </w:r>
      <w:proofErr w:type="gramEnd"/>
      <w:r w:rsidRPr="007745FF">
        <w:rPr>
          <w:rFonts w:ascii="Arial" w:eastAsia="宋体" w:hAnsi="Arial" w:cs="Arial"/>
          <w:color w:val="333333"/>
          <w:kern w:val="0"/>
          <w:sz w:val="24"/>
          <w:szCs w:val="24"/>
        </w:rPr>
        <w:t>药物单药疗效很低，但联合治疗可明显增强疗效，因此在早期临床研究，甚至临床前研究中考虑联合用药方案的探索也是必要的，尤其是在药物早期研究中未能显示出充足的单药活性时，应考虑是否可以进行此方面的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proofErr w:type="gramStart"/>
      <w:r w:rsidRPr="007745FF">
        <w:rPr>
          <w:rFonts w:ascii="Arial" w:eastAsia="宋体" w:hAnsi="Arial" w:cs="Arial"/>
          <w:b/>
          <w:bCs/>
          <w:color w:val="333333"/>
          <w:kern w:val="0"/>
          <w:sz w:val="24"/>
          <w:szCs w:val="24"/>
        </w:rPr>
        <w:t>不同瘤种的</w:t>
      </w:r>
      <w:proofErr w:type="gramEnd"/>
      <w:r w:rsidRPr="007745FF">
        <w:rPr>
          <w:rFonts w:ascii="Arial" w:eastAsia="宋体" w:hAnsi="Arial" w:cs="Arial"/>
          <w:b/>
          <w:bCs/>
          <w:color w:val="333333"/>
          <w:kern w:val="0"/>
          <w:sz w:val="24"/>
          <w:szCs w:val="24"/>
        </w:rPr>
        <w:t>探索</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通常一种抗肿瘤药物可能不只是对</w:t>
      </w:r>
      <w:proofErr w:type="gramStart"/>
      <w:r w:rsidRPr="007745FF">
        <w:rPr>
          <w:rFonts w:ascii="Arial" w:eastAsia="宋体" w:hAnsi="Arial" w:cs="Arial"/>
          <w:color w:val="333333"/>
          <w:kern w:val="0"/>
          <w:sz w:val="24"/>
          <w:szCs w:val="24"/>
        </w:rPr>
        <w:t>一个瘤种有效</w:t>
      </w:r>
      <w:proofErr w:type="gramEnd"/>
      <w:r w:rsidRPr="007745FF">
        <w:rPr>
          <w:rFonts w:ascii="Arial" w:eastAsia="宋体" w:hAnsi="Arial" w:cs="Arial"/>
          <w:color w:val="333333"/>
          <w:kern w:val="0"/>
          <w:sz w:val="24"/>
          <w:szCs w:val="24"/>
        </w:rPr>
        <w:t>，也不可能对</w:t>
      </w:r>
      <w:proofErr w:type="gramStart"/>
      <w:r w:rsidRPr="007745FF">
        <w:rPr>
          <w:rFonts w:ascii="Arial" w:eastAsia="宋体" w:hAnsi="Arial" w:cs="Arial"/>
          <w:color w:val="333333"/>
          <w:kern w:val="0"/>
          <w:sz w:val="24"/>
          <w:szCs w:val="24"/>
        </w:rPr>
        <w:t>所有瘤种都</w:t>
      </w:r>
      <w:proofErr w:type="gramEnd"/>
      <w:r w:rsidRPr="007745FF">
        <w:rPr>
          <w:rFonts w:ascii="Arial" w:eastAsia="宋体" w:hAnsi="Arial" w:cs="Arial"/>
          <w:color w:val="333333"/>
          <w:kern w:val="0"/>
          <w:sz w:val="24"/>
          <w:szCs w:val="24"/>
        </w:rPr>
        <w:t>具有同样疗效。因此，在临床前药效研究中，应参考同类化合物或作用机制</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"https://baike.baidu.com/item/%E7%9B%B8%E4%BC%BC"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相似</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药物的</w:t>
      </w:r>
      <w:hyperlink r:id="rId53" w:tgtFrame="_blank" w:history="1">
        <w:r w:rsidRPr="007745FF">
          <w:rPr>
            <w:rFonts w:ascii="Arial" w:eastAsia="宋体" w:hAnsi="Arial" w:cs="Arial"/>
            <w:color w:val="136EC2"/>
            <w:kern w:val="0"/>
            <w:sz w:val="24"/>
            <w:szCs w:val="24"/>
            <w:u w:val="single"/>
          </w:rPr>
          <w:t>适应</w:t>
        </w:r>
      </w:hyperlink>
      <w:r w:rsidRPr="007745FF">
        <w:rPr>
          <w:rFonts w:ascii="Arial" w:eastAsia="宋体" w:hAnsi="Arial" w:cs="Arial"/>
          <w:color w:val="333333"/>
          <w:kern w:val="0"/>
          <w:sz w:val="24"/>
          <w:szCs w:val="24"/>
        </w:rPr>
        <w:t>症，尽可能多地进行药物的抗瘤谱的筛选。在早期探索性临床试验中，也应参考临床前研究结果选择</w:t>
      </w:r>
      <w:proofErr w:type="gramStart"/>
      <w:r w:rsidRPr="007745FF">
        <w:rPr>
          <w:rFonts w:ascii="Arial" w:eastAsia="宋体" w:hAnsi="Arial" w:cs="Arial"/>
          <w:color w:val="333333"/>
          <w:kern w:val="0"/>
          <w:sz w:val="24"/>
          <w:szCs w:val="24"/>
        </w:rPr>
        <w:t>多个瘤种进行</w:t>
      </w:r>
      <w:proofErr w:type="gramEnd"/>
      <w:r w:rsidRPr="007745FF">
        <w:rPr>
          <w:rFonts w:ascii="Arial" w:eastAsia="宋体" w:hAnsi="Arial" w:cs="Arial"/>
          <w:color w:val="333333"/>
          <w:kern w:val="0"/>
          <w:sz w:val="24"/>
          <w:szCs w:val="24"/>
        </w:rPr>
        <w:t>临床研究，以获得该药物对</w:t>
      </w:r>
      <w:proofErr w:type="gramStart"/>
      <w:r w:rsidRPr="007745FF">
        <w:rPr>
          <w:rFonts w:ascii="Arial" w:eastAsia="宋体" w:hAnsi="Arial" w:cs="Arial"/>
          <w:color w:val="333333"/>
          <w:kern w:val="0"/>
          <w:sz w:val="24"/>
          <w:szCs w:val="24"/>
        </w:rPr>
        <w:t>不同瘤种敏感性</w:t>
      </w:r>
      <w:proofErr w:type="gramEnd"/>
      <w:r w:rsidRPr="007745FF">
        <w:rPr>
          <w:rFonts w:ascii="Arial" w:eastAsia="宋体" w:hAnsi="Arial" w:cs="Arial"/>
          <w:color w:val="333333"/>
          <w:kern w:val="0"/>
          <w:sz w:val="24"/>
          <w:szCs w:val="24"/>
        </w:rPr>
        <w:t>的初步结果。</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期研究再针对某个或几个相对敏感、最具开发价值</w:t>
      </w:r>
      <w:proofErr w:type="gramStart"/>
      <w:r w:rsidRPr="007745FF">
        <w:rPr>
          <w:rFonts w:ascii="Arial" w:eastAsia="宋体" w:hAnsi="Arial" w:cs="Arial"/>
          <w:color w:val="333333"/>
          <w:kern w:val="0"/>
          <w:sz w:val="24"/>
          <w:szCs w:val="24"/>
        </w:rPr>
        <w:t>的瘤种进行</w:t>
      </w:r>
      <w:proofErr w:type="gramEnd"/>
      <w:r w:rsidRPr="007745FF">
        <w:rPr>
          <w:rFonts w:ascii="Arial" w:eastAsia="宋体" w:hAnsi="Arial" w:cs="Arial"/>
          <w:color w:val="333333"/>
          <w:kern w:val="0"/>
          <w:sz w:val="24"/>
          <w:szCs w:val="24"/>
        </w:rPr>
        <w:t>大</w:t>
      </w:r>
      <w:hyperlink r:id="rId54" w:tgtFrame="_blank" w:history="1">
        <w:r w:rsidRPr="007745FF">
          <w:rPr>
            <w:rFonts w:ascii="Arial" w:eastAsia="宋体" w:hAnsi="Arial" w:cs="Arial"/>
            <w:color w:val="136EC2"/>
            <w:kern w:val="0"/>
            <w:sz w:val="24"/>
            <w:szCs w:val="24"/>
            <w:u w:val="single"/>
          </w:rPr>
          <w:t>样本</w:t>
        </w:r>
      </w:hyperlink>
      <w:r w:rsidRPr="007745FF">
        <w:rPr>
          <w:rFonts w:ascii="Arial" w:eastAsia="宋体" w:hAnsi="Arial" w:cs="Arial"/>
          <w:color w:val="333333"/>
          <w:kern w:val="0"/>
          <w:sz w:val="24"/>
          <w:szCs w:val="24"/>
        </w:rPr>
        <w:t>确证性试验，获得肯定疗效后，再选择其他潜在的</w:t>
      </w:r>
      <w:proofErr w:type="gramStart"/>
      <w:r w:rsidRPr="007745FF">
        <w:rPr>
          <w:rFonts w:ascii="Arial" w:eastAsia="宋体" w:hAnsi="Arial" w:cs="Arial"/>
          <w:color w:val="333333"/>
          <w:kern w:val="0"/>
          <w:sz w:val="24"/>
          <w:szCs w:val="24"/>
        </w:rPr>
        <w:t>有效瘤种进行</w:t>
      </w:r>
      <w:proofErr w:type="gramEnd"/>
      <w:r w:rsidRPr="007745FF">
        <w:rPr>
          <w:rFonts w:ascii="Arial" w:eastAsia="宋体" w:hAnsi="Arial" w:cs="Arial"/>
          <w:color w:val="333333"/>
          <w:kern w:val="0"/>
          <w:sz w:val="24"/>
          <w:szCs w:val="24"/>
        </w:rPr>
        <w:t>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基于抗肿瘤药物治疗特点，在其应用过程中可能会不断对其适用人群和给药方案进行优化，对一种新抗肿瘤药物适用人群和给药方案的探索和优化可能是无穷尽的，申请人不可能也不必要在获得所有数据后再进行注册申请。可行的办法是在充分考虑药物的目标人群，目标适应症的发病情况和治疗现状，新治疗手段在该病治疗中的地位，同类药物的开发情况等因素后，拟订周密合理的临床开发计划来安排临床试验的进度，选择可行的最有潜在开发价值的适应症和给药方案进行大样本的确证研究先获得上市许可，再考虑上市后进行扩大适用人群，优化给药方案的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关于已上市药品增加新适应症的具体临床研究要求可参见《已上市抗肿瘤药物增加新适应症的技术指导原则》</w:t>
      </w:r>
      <w:r w:rsidRPr="007745FF">
        <w:rPr>
          <w:rFonts w:ascii="Arial" w:eastAsia="宋体" w:hAnsi="Arial" w:cs="Arial"/>
          <w:color w:val="333333"/>
          <w:kern w:val="0"/>
          <w:sz w:val="24"/>
          <w:szCs w:val="24"/>
        </w:rPr>
        <w:t>.</w:t>
      </w:r>
    </w:p>
    <w:p w:rsidR="007745FF" w:rsidRPr="007745FF" w:rsidRDefault="007745FF" w:rsidP="007745FF">
      <w:pPr>
        <w:widowControl/>
        <w:shd w:val="clear" w:color="auto" w:fill="FFFFFF"/>
        <w:spacing w:line="276" w:lineRule="auto"/>
        <w:jc w:val="left"/>
        <w:outlineLvl w:val="1"/>
        <w:rPr>
          <w:rFonts w:ascii="微软雅黑" w:eastAsia="微软雅黑" w:hAnsi="微软雅黑" w:cs="宋体"/>
          <w:color w:val="000000"/>
          <w:kern w:val="0"/>
          <w:sz w:val="24"/>
          <w:szCs w:val="24"/>
        </w:rPr>
      </w:pPr>
      <w:bookmarkStart w:id="9" w:name="4"/>
      <w:bookmarkStart w:id="10" w:name="sub9337671_4"/>
      <w:bookmarkStart w:id="11" w:name="研究一般过程"/>
      <w:bookmarkEnd w:id="9"/>
      <w:bookmarkEnd w:id="10"/>
      <w:bookmarkEnd w:id="11"/>
      <w:r w:rsidRPr="007745FF">
        <w:rPr>
          <w:rFonts w:ascii="微软雅黑" w:eastAsia="微软雅黑" w:hAnsi="微软雅黑" w:cs="宋体" w:hint="eastAsia"/>
          <w:color w:val="000000"/>
          <w:kern w:val="0"/>
          <w:sz w:val="24"/>
          <w:szCs w:val="24"/>
        </w:rPr>
        <w:t>研究一般过程</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b/>
          <w:bCs/>
          <w:color w:val="333333"/>
          <w:kern w:val="0"/>
          <w:sz w:val="24"/>
          <w:szCs w:val="24"/>
        </w:rPr>
        <w:lastRenderedPageBreak/>
        <w:t>（一）</w:t>
      </w:r>
      <w:r w:rsidRPr="007745FF">
        <w:rPr>
          <w:rFonts w:ascii="宋体" w:eastAsia="宋体" w:hAnsi="宋体" w:cs="宋体" w:hint="eastAsia"/>
          <w:b/>
          <w:bCs/>
          <w:color w:val="333333"/>
          <w:kern w:val="0"/>
          <w:sz w:val="24"/>
          <w:szCs w:val="24"/>
        </w:rPr>
        <w:t>Ⅰ</w:t>
      </w:r>
      <w:r w:rsidRPr="007745FF">
        <w:rPr>
          <w:rFonts w:ascii="Arial" w:eastAsia="宋体" w:hAnsi="Arial" w:cs="Arial"/>
          <w:b/>
          <w:bCs/>
          <w:color w:val="333333"/>
          <w:kern w:val="0"/>
          <w:sz w:val="24"/>
          <w:szCs w:val="24"/>
        </w:rPr>
        <w:t>期临床试验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新开发的药物自首次进入人体试验，即开始了</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期临床试验主要是为了对新药的人体药代</w:t>
      </w:r>
      <w:hyperlink r:id="rId55" w:tgtFrame="_blank" w:history="1">
        <w:r w:rsidRPr="007745FF">
          <w:rPr>
            <w:rFonts w:ascii="Arial" w:eastAsia="宋体" w:hAnsi="Arial" w:cs="Arial"/>
            <w:color w:val="136EC2"/>
            <w:kern w:val="0"/>
            <w:sz w:val="24"/>
            <w:szCs w:val="24"/>
            <w:u w:val="single"/>
          </w:rPr>
          <w:t>动力学</w:t>
        </w:r>
      </w:hyperlink>
      <w:r w:rsidRPr="007745FF">
        <w:rPr>
          <w:rFonts w:ascii="Arial" w:eastAsia="宋体" w:hAnsi="Arial" w:cs="Arial"/>
          <w:color w:val="333333"/>
          <w:kern w:val="0"/>
          <w:sz w:val="24"/>
          <w:szCs w:val="24"/>
        </w:rPr>
        <w:t>和耐受性进行初步研究，以此来确定剂量限制性毒性（</w:t>
      </w:r>
      <w:r w:rsidRPr="007745FF">
        <w:rPr>
          <w:rFonts w:ascii="Arial" w:eastAsia="宋体" w:hAnsi="Arial" w:cs="Arial"/>
          <w:color w:val="333333"/>
          <w:kern w:val="0"/>
          <w:sz w:val="24"/>
          <w:szCs w:val="24"/>
        </w:rPr>
        <w:t>DLT</w:t>
      </w:r>
      <w:r w:rsidRPr="007745FF">
        <w:rPr>
          <w:rFonts w:ascii="Arial" w:eastAsia="宋体" w:hAnsi="Arial" w:cs="Arial"/>
          <w:color w:val="333333"/>
          <w:kern w:val="0"/>
          <w:sz w:val="24"/>
          <w:szCs w:val="24"/>
        </w:rPr>
        <w:t>），最大耐受剂量（</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），并推荐下一步研究的给药方案。</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进入</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期临床试验前，新药应完成药效学、</w:t>
      </w:r>
      <w:hyperlink r:id="rId56" w:tgtFrame="_blank" w:history="1">
        <w:r w:rsidRPr="007745FF">
          <w:rPr>
            <w:rFonts w:ascii="Arial" w:eastAsia="宋体" w:hAnsi="Arial" w:cs="Arial"/>
            <w:color w:val="136EC2"/>
            <w:kern w:val="0"/>
            <w:sz w:val="24"/>
            <w:szCs w:val="24"/>
            <w:u w:val="single"/>
          </w:rPr>
          <w:t>急性毒性</w:t>
        </w:r>
      </w:hyperlink>
      <w:r w:rsidRPr="007745FF">
        <w:rPr>
          <w:rFonts w:ascii="Arial" w:eastAsia="宋体" w:hAnsi="Arial" w:cs="Arial"/>
          <w:color w:val="333333"/>
          <w:kern w:val="0"/>
          <w:sz w:val="24"/>
          <w:szCs w:val="24"/>
        </w:rPr>
        <w:t>、重复给</w:t>
      </w:r>
      <w:hyperlink r:id="rId57" w:tgtFrame="_blank" w:history="1">
        <w:r w:rsidRPr="007745FF">
          <w:rPr>
            <w:rFonts w:ascii="Arial" w:eastAsia="宋体" w:hAnsi="Arial" w:cs="Arial"/>
            <w:color w:val="136EC2"/>
            <w:kern w:val="0"/>
            <w:sz w:val="24"/>
            <w:szCs w:val="24"/>
            <w:u w:val="single"/>
          </w:rPr>
          <w:t>药毒</w:t>
        </w:r>
      </w:hyperlink>
      <w:r w:rsidRPr="007745FF">
        <w:rPr>
          <w:rFonts w:ascii="Arial" w:eastAsia="宋体" w:hAnsi="Arial" w:cs="Arial"/>
          <w:color w:val="333333"/>
          <w:kern w:val="0"/>
          <w:sz w:val="24"/>
          <w:szCs w:val="24"/>
        </w:rPr>
        <w:t>性以及其他必要的</w:t>
      </w:r>
      <w:hyperlink r:id="rId58" w:tgtFrame="_blank" w:history="1">
        <w:r w:rsidRPr="007745FF">
          <w:rPr>
            <w:rFonts w:ascii="Arial" w:eastAsia="宋体" w:hAnsi="Arial" w:cs="Arial"/>
            <w:color w:val="136EC2"/>
            <w:kern w:val="0"/>
            <w:sz w:val="24"/>
            <w:szCs w:val="24"/>
            <w:u w:val="single"/>
          </w:rPr>
          <w:t>毒理学</w:t>
        </w:r>
      </w:hyperlink>
      <w:r w:rsidRPr="007745FF">
        <w:rPr>
          <w:rFonts w:ascii="Arial" w:eastAsia="宋体" w:hAnsi="Arial" w:cs="Arial"/>
          <w:color w:val="333333"/>
          <w:kern w:val="0"/>
          <w:sz w:val="24"/>
          <w:szCs w:val="24"/>
        </w:rPr>
        <w:t>研究，初步预测进入人体试验具有相对的安全性。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研究目的主要目的是探索不同给药方案下的</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DLT</w:t>
      </w:r>
      <w:r w:rsidRPr="007745FF">
        <w:rPr>
          <w:rFonts w:ascii="Arial" w:eastAsia="宋体" w:hAnsi="Arial" w:cs="Arial"/>
          <w:color w:val="333333"/>
          <w:kern w:val="0"/>
          <w:sz w:val="24"/>
          <w:szCs w:val="24"/>
        </w:rPr>
        <w:t>、合理的给药方案，确定</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期临床试验推荐的给药方案。</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同时了解新药人体药代动力学特征，获取初步药代动力学参数，并观察初步疗效，进行可能的药代动力学</w:t>
      </w:r>
      <w:r w:rsidRPr="007745FF">
        <w:rPr>
          <w:rFonts w:ascii="Arial" w:eastAsia="宋体" w:hAnsi="Arial" w:cs="Arial"/>
          <w:color w:val="333333"/>
          <w:kern w:val="0"/>
          <w:sz w:val="24"/>
          <w:szCs w:val="24"/>
        </w:rPr>
        <w:t>/</w:t>
      </w:r>
      <w:hyperlink r:id="rId59" w:tgtFrame="_blank" w:history="1">
        <w:r w:rsidRPr="007745FF">
          <w:rPr>
            <w:rFonts w:ascii="Arial" w:eastAsia="宋体" w:hAnsi="Arial" w:cs="Arial"/>
            <w:color w:val="136EC2"/>
            <w:kern w:val="0"/>
            <w:sz w:val="24"/>
            <w:szCs w:val="24"/>
            <w:u w:val="single"/>
          </w:rPr>
          <w:t>药效动力学</w:t>
        </w:r>
      </w:hyperlink>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PK/PD</w:t>
      </w:r>
      <w:r w:rsidRPr="007745FF">
        <w:rPr>
          <w:rFonts w:ascii="Arial" w:eastAsia="宋体" w:hAnsi="Arial" w:cs="Arial"/>
          <w:color w:val="333333"/>
          <w:kern w:val="0"/>
          <w:sz w:val="24"/>
          <w:szCs w:val="24"/>
        </w:rPr>
        <w:t>）分析。</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受试人群的选择</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期临床试验的受试人群原则上应至少符合以下基本标准：</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经病理</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"https://baike.baidu.com/item/%E7%BB%84%E7%BB%87%E5%AD%A6"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组织学</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和</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或</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"https://baike.baidu.com/item/%E7%BB%86%E8%83%9E%E5%AD%A6"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细胞学</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确诊的恶性肿瘤患者。</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经常规治疗无效的或缺乏有效治疗的恶性肿瘤患者，且纳入新药试验后可能受益者。若需要对特定目标人群进行观察，则可有选择性地入组具有相应目标肿瘤的人群进行研究。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无严重的造血</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"https://baike.baidu.com/item/%E5%8A%9F%E8%83%BD"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功能</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异常（不适用于</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"https://baike.baidu.com/item/%E8%A1%80%E6%B6%B2%E7%97%85"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血液病</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患者），心、肺、肝、肾功能基本正常。</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体力状况评分（</w:t>
      </w:r>
      <w:r w:rsidRPr="007745FF">
        <w:rPr>
          <w:rFonts w:ascii="Arial" w:eastAsia="宋体" w:hAnsi="Arial" w:cs="Arial"/>
          <w:color w:val="333333"/>
          <w:kern w:val="0"/>
          <w:sz w:val="24"/>
          <w:szCs w:val="24"/>
        </w:rPr>
        <w:t>Performance Status</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PS</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ECOG 0</w:t>
      </w:r>
      <w:r w:rsidRPr="007745FF">
        <w:rPr>
          <w:rFonts w:ascii="Arial" w:eastAsia="宋体" w:hAnsi="Arial" w:cs="Arial"/>
          <w:color w:val="333333"/>
          <w:kern w:val="0"/>
          <w:sz w:val="24"/>
          <w:szCs w:val="24"/>
        </w:rPr>
        <w:t>至</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级或卡氏评分</w:t>
      </w:r>
      <w:r w:rsidRPr="007745FF">
        <w:rPr>
          <w:rFonts w:ascii="Arial" w:eastAsia="宋体" w:hAnsi="Arial" w:cs="Arial"/>
          <w:color w:val="333333"/>
          <w:kern w:val="0"/>
          <w:sz w:val="24"/>
          <w:szCs w:val="24"/>
        </w:rPr>
        <w:t>&gt;70</w:t>
      </w:r>
      <w:r w:rsidRPr="007745FF">
        <w:rPr>
          <w:rFonts w:ascii="Arial" w:eastAsia="宋体" w:hAnsi="Arial" w:cs="Arial"/>
          <w:color w:val="333333"/>
          <w:kern w:val="0"/>
          <w:sz w:val="24"/>
          <w:szCs w:val="24"/>
        </w:rPr>
        <w:t>分（见附件）。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应排除以往抗肿瘤治疗的持续效应。入组治疗时间应与以往治疗有足够的时间间隔，通常至少在</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周以上，避免以往治疗的干扰。</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6</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至少有</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个月的预期寿命，可以对安全有效性资料进行随访。</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7</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年龄一般</w:t>
      </w:r>
      <w:r w:rsidRPr="007745FF">
        <w:rPr>
          <w:rFonts w:ascii="Arial" w:eastAsia="宋体" w:hAnsi="Arial" w:cs="Arial"/>
          <w:color w:val="333333"/>
          <w:kern w:val="0"/>
          <w:sz w:val="24"/>
          <w:szCs w:val="24"/>
        </w:rPr>
        <w:t>18-65</w:t>
      </w:r>
      <w:r w:rsidRPr="007745FF">
        <w:rPr>
          <w:rFonts w:ascii="Arial" w:eastAsia="宋体" w:hAnsi="Arial" w:cs="Arial"/>
          <w:color w:val="333333"/>
          <w:kern w:val="0"/>
          <w:sz w:val="24"/>
          <w:szCs w:val="24"/>
        </w:rPr>
        <w:t>岁，不宜在</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"https://baike.baidu.com/item/%E5%84%BF%E7%AB%A5"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儿童</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患者中进行首次人体研究（儿童高发的肿瘤疾病除外）。</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8</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生育年龄的受试者应采取有效避孕措施。</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9</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签署知情同意书。</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因为抗肿瘤药物往往伴随着较大</w:t>
      </w:r>
      <w:hyperlink r:id="rId60" w:tgtFrame="_blank" w:history="1">
        <w:r w:rsidRPr="007745FF">
          <w:rPr>
            <w:rFonts w:ascii="Arial" w:eastAsia="宋体" w:hAnsi="Arial" w:cs="Arial"/>
            <w:color w:val="136EC2"/>
            <w:kern w:val="0"/>
            <w:sz w:val="24"/>
            <w:szCs w:val="24"/>
            <w:u w:val="single"/>
          </w:rPr>
          <w:t>毒性反应</w:t>
        </w:r>
      </w:hyperlink>
      <w:r w:rsidRPr="007745FF">
        <w:rPr>
          <w:rFonts w:ascii="Arial" w:eastAsia="宋体" w:hAnsi="Arial" w:cs="Arial"/>
          <w:color w:val="333333"/>
          <w:kern w:val="0"/>
          <w:sz w:val="24"/>
          <w:szCs w:val="24"/>
        </w:rPr>
        <w:t>，为避免健康受试者遭受不必要的损害，同时为了真实反映药物在患者中的安全有效性，一般应当选择肿瘤患者进行首次人体研究。但对于一些非细胞毒类药物如激素类、</w:t>
      </w:r>
      <w:hyperlink r:id="rId61" w:tgtFrame="_blank" w:history="1">
        <w:r w:rsidRPr="007745FF">
          <w:rPr>
            <w:rFonts w:ascii="Arial" w:eastAsia="宋体" w:hAnsi="Arial" w:cs="Arial"/>
            <w:color w:val="136EC2"/>
            <w:kern w:val="0"/>
            <w:sz w:val="24"/>
            <w:szCs w:val="24"/>
            <w:u w:val="single"/>
          </w:rPr>
          <w:t>酪氨酸</w:t>
        </w:r>
      </w:hyperlink>
      <w:r w:rsidRPr="007745FF">
        <w:rPr>
          <w:rFonts w:ascii="Arial" w:eastAsia="宋体" w:hAnsi="Arial" w:cs="Arial"/>
          <w:color w:val="333333"/>
          <w:kern w:val="0"/>
          <w:sz w:val="24"/>
          <w:szCs w:val="24"/>
        </w:rPr>
        <w:t>激酶抑制剂等，如其毒性较轻，在充分考虑受试者安全的前提下，可考虑选择健康志愿者进行部分研究，如单次剂量爬坡试验、药代动力学研究，选择健康志愿者可以获得相对准确的药物体内</w:t>
      </w:r>
      <w:hyperlink r:id="rId62" w:tgtFrame="_blank" w:history="1">
        <w:r w:rsidRPr="007745FF">
          <w:rPr>
            <w:rFonts w:ascii="Arial" w:eastAsia="宋体" w:hAnsi="Arial" w:cs="Arial"/>
            <w:color w:val="136EC2"/>
            <w:kern w:val="0"/>
            <w:sz w:val="24"/>
            <w:szCs w:val="24"/>
            <w:u w:val="single"/>
          </w:rPr>
          <w:t>代谢</w:t>
        </w:r>
      </w:hyperlink>
      <w:r w:rsidRPr="007745FF">
        <w:rPr>
          <w:rFonts w:ascii="Arial" w:eastAsia="宋体" w:hAnsi="Arial" w:cs="Arial"/>
          <w:color w:val="333333"/>
          <w:kern w:val="0"/>
          <w:sz w:val="24"/>
          <w:szCs w:val="24"/>
        </w:rPr>
        <w:t>特征。</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出于伦理上的考虑，</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期临床试验不应该入选能够在常规药物治疗中获益和症状改善的肿瘤患者，而应选</w:t>
      </w:r>
      <w:proofErr w:type="gramStart"/>
      <w:r w:rsidRPr="007745FF">
        <w:rPr>
          <w:rFonts w:ascii="Arial" w:eastAsia="宋体" w:hAnsi="Arial" w:cs="Arial"/>
          <w:color w:val="333333"/>
          <w:kern w:val="0"/>
          <w:sz w:val="24"/>
          <w:szCs w:val="24"/>
        </w:rPr>
        <w:t>择标准</w:t>
      </w:r>
      <w:proofErr w:type="gramEnd"/>
      <w:r w:rsidRPr="007745FF">
        <w:rPr>
          <w:rFonts w:ascii="Arial" w:eastAsia="宋体" w:hAnsi="Arial" w:cs="Arial"/>
          <w:color w:val="333333"/>
          <w:kern w:val="0"/>
          <w:sz w:val="24"/>
          <w:szCs w:val="24"/>
        </w:rPr>
        <w:t>治疗失败或没有标准治疗的晚期肿瘤患者。由于该类肿瘤患者身体状况通常较差，且在进入试验前往往接受了多种其他治疗，可能影响对药物相关反应的观察，因此制定患者入组标准应非常谨慎。</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在</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期临床试验中通常选择</w:t>
      </w:r>
      <w:proofErr w:type="gramStart"/>
      <w:r w:rsidRPr="007745FF">
        <w:rPr>
          <w:rFonts w:ascii="Arial" w:eastAsia="宋体" w:hAnsi="Arial" w:cs="Arial"/>
          <w:color w:val="333333"/>
          <w:kern w:val="0"/>
          <w:sz w:val="24"/>
          <w:szCs w:val="24"/>
        </w:rPr>
        <w:t>不同瘤种进行</w:t>
      </w:r>
      <w:proofErr w:type="gramEnd"/>
      <w:r w:rsidRPr="007745FF">
        <w:rPr>
          <w:rFonts w:ascii="Arial" w:eastAsia="宋体" w:hAnsi="Arial" w:cs="Arial"/>
          <w:color w:val="333333"/>
          <w:kern w:val="0"/>
          <w:sz w:val="24"/>
          <w:szCs w:val="24"/>
        </w:rPr>
        <w:t>试验，</w:t>
      </w:r>
      <w:proofErr w:type="gramStart"/>
      <w:r w:rsidRPr="007745FF">
        <w:rPr>
          <w:rFonts w:ascii="Arial" w:eastAsia="宋体" w:hAnsi="Arial" w:cs="Arial"/>
          <w:color w:val="333333"/>
          <w:kern w:val="0"/>
          <w:sz w:val="24"/>
          <w:szCs w:val="24"/>
        </w:rPr>
        <w:t>瘤种类型</w:t>
      </w:r>
      <w:proofErr w:type="gramEnd"/>
      <w:r w:rsidRPr="007745FF">
        <w:rPr>
          <w:rFonts w:ascii="Arial" w:eastAsia="宋体" w:hAnsi="Arial" w:cs="Arial"/>
          <w:color w:val="333333"/>
          <w:kern w:val="0"/>
          <w:sz w:val="24"/>
          <w:szCs w:val="24"/>
        </w:rPr>
        <w:t>可参考临床前药效研究结果。由于动物试验结果不能完全预测人体试验结果，也可选择未知敏感性</w:t>
      </w:r>
      <w:proofErr w:type="gramStart"/>
      <w:r w:rsidRPr="007745FF">
        <w:rPr>
          <w:rFonts w:ascii="Arial" w:eastAsia="宋体" w:hAnsi="Arial" w:cs="Arial"/>
          <w:color w:val="333333"/>
          <w:kern w:val="0"/>
          <w:sz w:val="24"/>
          <w:szCs w:val="24"/>
        </w:rPr>
        <w:t>的瘤种进行</w:t>
      </w:r>
      <w:proofErr w:type="gramEnd"/>
      <w:r w:rsidRPr="007745FF">
        <w:rPr>
          <w:rFonts w:ascii="Arial" w:eastAsia="宋体" w:hAnsi="Arial" w:cs="Arial"/>
          <w:color w:val="333333"/>
          <w:kern w:val="0"/>
          <w:sz w:val="24"/>
          <w:szCs w:val="24"/>
        </w:rPr>
        <w:t>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对于分子靶向药物，根据靶标筛选受试者对疗效的评价以及个体化治疗也是有帮助的。</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3.</w:t>
      </w:r>
      <w:proofErr w:type="gramStart"/>
      <w:r w:rsidRPr="007745FF">
        <w:rPr>
          <w:rFonts w:ascii="Arial" w:eastAsia="宋体" w:hAnsi="Arial" w:cs="Arial"/>
          <w:color w:val="333333"/>
          <w:kern w:val="0"/>
          <w:sz w:val="24"/>
          <w:szCs w:val="24"/>
        </w:rPr>
        <w:t>给药方案给药方案</w:t>
      </w:r>
      <w:proofErr w:type="gramEnd"/>
      <w:r w:rsidRPr="007745FF">
        <w:rPr>
          <w:rFonts w:ascii="Arial" w:eastAsia="宋体" w:hAnsi="Arial" w:cs="Arial"/>
          <w:color w:val="333333"/>
          <w:kern w:val="0"/>
          <w:sz w:val="24"/>
          <w:szCs w:val="24"/>
        </w:rPr>
        <w:t>是决定药物疗效和安全性的关键性因素之一，</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期临床试验中应探索适宜的给药方案，探索不同给药方案下的人体耐受性。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起始剂量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多数抗肿瘤药物的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"https://baike.baidu.com/item/%E6%B2%BB%E7%96%97%E6%8C%87%E6%95%B0"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治疗指数</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很小，较高的起始剂量可能导致患者出现严重毒性，甚至患者死亡，从而使得原本具有潜力的有效药物不能得以继续研发。另一方面，如选择过低的起始剂量，有可能使得试验周期延长，不利于开发进程，而且从伦理学角度考虑，不应使过多患者暴露在无效剂量下。因此，起始剂量的选择应当</w:t>
      </w:r>
      <w:hyperlink r:id="rId63" w:tgtFrame="_blank" w:history="1">
        <w:r w:rsidRPr="007745FF">
          <w:rPr>
            <w:rFonts w:ascii="Arial" w:eastAsia="宋体" w:hAnsi="Arial" w:cs="Arial"/>
            <w:color w:val="136EC2"/>
            <w:kern w:val="0"/>
            <w:sz w:val="24"/>
            <w:szCs w:val="24"/>
            <w:u w:val="single"/>
          </w:rPr>
          <w:t>综合</w:t>
        </w:r>
      </w:hyperlink>
      <w:r w:rsidRPr="007745FF">
        <w:rPr>
          <w:rFonts w:ascii="Arial" w:eastAsia="宋体" w:hAnsi="Arial" w:cs="Arial"/>
          <w:color w:val="333333"/>
          <w:kern w:val="0"/>
          <w:sz w:val="24"/>
          <w:szCs w:val="24"/>
        </w:rPr>
        <w:t>非临床药效、毒理和药代动力学</w:t>
      </w:r>
      <w:r w:rsidRPr="007745FF">
        <w:rPr>
          <w:rFonts w:ascii="Arial" w:eastAsia="宋体" w:hAnsi="Arial" w:cs="Arial"/>
          <w:color w:val="333333"/>
          <w:kern w:val="0"/>
          <w:sz w:val="24"/>
          <w:szCs w:val="24"/>
        </w:rPr>
        <w:t>/</w:t>
      </w:r>
      <w:proofErr w:type="gramStart"/>
      <w:r w:rsidRPr="007745FF">
        <w:rPr>
          <w:rFonts w:ascii="Arial" w:eastAsia="宋体" w:hAnsi="Arial" w:cs="Arial"/>
          <w:color w:val="333333"/>
          <w:kern w:val="0"/>
          <w:sz w:val="24"/>
          <w:szCs w:val="24"/>
        </w:rPr>
        <w:t>毒代动力学</w:t>
      </w:r>
      <w:proofErr w:type="gramEnd"/>
      <w:r w:rsidRPr="007745FF">
        <w:rPr>
          <w:rFonts w:ascii="Arial" w:eastAsia="宋体" w:hAnsi="Arial" w:cs="Arial"/>
          <w:color w:val="333333"/>
          <w:kern w:val="0"/>
          <w:sz w:val="24"/>
          <w:szCs w:val="24"/>
        </w:rPr>
        <w:t>的研究结果综合考虑。</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对于细胞毒类药物，</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期临床试验的单次给药起始剂量计算原则上相当于非临床试验中啮齿类动物</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剂量的</w:t>
      </w:r>
      <w:r w:rsidRPr="007745FF">
        <w:rPr>
          <w:rFonts w:ascii="Arial" w:eastAsia="宋体" w:hAnsi="Arial" w:cs="Arial"/>
          <w:color w:val="333333"/>
          <w:kern w:val="0"/>
          <w:sz w:val="24"/>
          <w:szCs w:val="24"/>
        </w:rPr>
        <w:t>1/10</w:t>
      </w:r>
      <w:r w:rsidRPr="007745FF">
        <w:rPr>
          <w:rFonts w:ascii="Arial" w:eastAsia="宋体" w:hAnsi="Arial" w:cs="Arial"/>
          <w:color w:val="333333"/>
          <w:kern w:val="0"/>
          <w:sz w:val="24"/>
          <w:szCs w:val="24"/>
        </w:rPr>
        <w:t>，或非啮齿类动物</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剂量的</w:t>
      </w:r>
      <w:r w:rsidRPr="007745FF">
        <w:rPr>
          <w:rFonts w:ascii="Arial" w:eastAsia="宋体" w:hAnsi="Arial" w:cs="Arial"/>
          <w:color w:val="333333"/>
          <w:kern w:val="0"/>
          <w:sz w:val="24"/>
          <w:szCs w:val="24"/>
        </w:rPr>
        <w:t>1/6</w:t>
      </w:r>
      <w:r w:rsidRPr="007745FF">
        <w:rPr>
          <w:rFonts w:ascii="Arial" w:eastAsia="宋体" w:hAnsi="Arial" w:cs="Arial"/>
          <w:color w:val="333333"/>
          <w:kern w:val="0"/>
          <w:sz w:val="24"/>
          <w:szCs w:val="24"/>
        </w:rPr>
        <w:t>，单位用</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"https://baike.baidu.com/item/mg"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mg</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/m</w:t>
      </w:r>
      <w:r w:rsidRPr="007745FF">
        <w:rPr>
          <w:rFonts w:ascii="Arial" w:eastAsia="宋体" w:hAnsi="Arial" w:cs="Arial"/>
          <w:color w:val="333333"/>
          <w:kern w:val="0"/>
          <w:sz w:val="24"/>
          <w:szCs w:val="24"/>
        </w:rPr>
        <w:t>表示，同时还需考察</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剂量在不同种属动物的毒性反应及可逆性，一般应选择最具相关性的动物的</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估算所得剂量，在未知动物相关性的情况，宜选择最敏感动物</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进行计算。具体可参考《细胞毒类抗肿瘤药物非临床研究技术指导原则》。</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对于一些非细胞毒类抗肿瘤药，由于其毒性相对较小，</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期临床试验的单次给药起始剂量计算可采用非临床试验中非啮齿类动物</w:t>
      </w:r>
      <w:r w:rsidRPr="007745FF">
        <w:rPr>
          <w:rFonts w:ascii="Arial" w:eastAsia="宋体" w:hAnsi="Arial" w:cs="Arial"/>
          <w:color w:val="333333"/>
          <w:kern w:val="0"/>
          <w:sz w:val="24"/>
          <w:szCs w:val="24"/>
        </w:rPr>
        <w:t>NOAEL</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No Observed Adverse Effect Level</w:t>
      </w:r>
      <w:r w:rsidRPr="007745FF">
        <w:rPr>
          <w:rFonts w:ascii="Arial" w:eastAsia="宋体" w:hAnsi="Arial" w:cs="Arial"/>
          <w:color w:val="333333"/>
          <w:kern w:val="0"/>
          <w:sz w:val="24"/>
          <w:szCs w:val="24"/>
        </w:rPr>
        <w:t>，未观察到</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"https://baike.baidu.com/item/%E4%B8%8D%E8%89%AF%E5%8F%8D%E5%BA%94"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不良反应</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的剂量）的</w:t>
      </w:r>
      <w:r w:rsidRPr="007745FF">
        <w:rPr>
          <w:rFonts w:ascii="Arial" w:eastAsia="宋体" w:hAnsi="Arial" w:cs="Arial"/>
          <w:color w:val="333333"/>
          <w:kern w:val="0"/>
          <w:sz w:val="24"/>
          <w:szCs w:val="24"/>
        </w:rPr>
        <w:t>1/5</w:t>
      </w:r>
      <w:r w:rsidRPr="007745FF">
        <w:rPr>
          <w:rFonts w:ascii="Arial" w:eastAsia="宋体" w:hAnsi="Arial" w:cs="Arial"/>
          <w:color w:val="333333"/>
          <w:kern w:val="0"/>
          <w:sz w:val="24"/>
          <w:szCs w:val="24"/>
        </w:rPr>
        <w:t>，或者更高。选择健康受试者时应参考《健康成年志愿者首次临床试验药物最大安全起始剂量的估算指导原则》计算起始剂量。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多次给药起始剂量主要依据单次给药试验结果确定，同时应综合考虑临床前重复给药毒理研究结果。</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若为国外已进行临床试验的新化合物，已有可靠的可借鉴临床试验资料，参照国外临床研究数据设计国内临床试验的起始剂量也是可以接受的。此时应当考虑不同人种间的差异可能带来的影响。</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proofErr w:type="gramStart"/>
      <w:r w:rsidRPr="007745FF">
        <w:rPr>
          <w:rFonts w:ascii="Arial" w:eastAsia="宋体" w:hAnsi="Arial" w:cs="Arial"/>
          <w:color w:val="333333"/>
          <w:kern w:val="0"/>
          <w:sz w:val="24"/>
          <w:szCs w:val="24"/>
        </w:rPr>
        <w:t>若参考国外</w:t>
      </w:r>
      <w:proofErr w:type="gramEnd"/>
      <w:r w:rsidRPr="007745FF">
        <w:rPr>
          <w:rFonts w:ascii="Arial" w:eastAsia="宋体" w:hAnsi="Arial" w:cs="Arial"/>
          <w:color w:val="333333"/>
          <w:kern w:val="0"/>
          <w:sz w:val="24"/>
          <w:szCs w:val="24"/>
        </w:rPr>
        <w:t>临床研究数据设计国内临床试验的起始剂量，可借鉴已有的临床研究结果并考虑不同人种间的差异可能带来的影响。</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在进行联合用药探索性研究时，联合方案中的药物起始剂量确定需要考虑两者之间的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"https://baike.baidu.com/item/%E7%9B%B8%E4%BA%92%E4%BD%9C%E7%94%A8"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相互作用</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可能导致毒性加倍甚至增加更多。如果一种新的联合疗法的抗肿瘤活性的程度依赖于理论推测时，根据单个成分的毒性，通常有可能预测出联合疗法的毒性。如果能够排除相关的药代动力学相互作用，并且剂量－反应</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毒性特性未知时，可以按照每种化合物单药治疗推荐剂量的</w:t>
      </w:r>
      <w:r w:rsidRPr="007745FF">
        <w:rPr>
          <w:rFonts w:ascii="Arial" w:eastAsia="宋体" w:hAnsi="Arial" w:cs="Arial"/>
          <w:color w:val="333333"/>
          <w:kern w:val="0"/>
          <w:sz w:val="24"/>
          <w:szCs w:val="24"/>
        </w:rPr>
        <w:t>1/2</w:t>
      </w:r>
      <w:r w:rsidRPr="007745FF">
        <w:rPr>
          <w:rFonts w:ascii="Arial" w:eastAsia="宋体" w:hAnsi="Arial" w:cs="Arial"/>
          <w:color w:val="333333"/>
          <w:kern w:val="0"/>
          <w:sz w:val="24"/>
          <w:szCs w:val="24"/>
        </w:rPr>
        <w:t>开始剂量探索研究。也可以按照其中的一种化合物的推荐剂量的全量而将其他化合物的剂量减量（</w:t>
      </w:r>
      <w:r w:rsidRPr="007745FF">
        <w:rPr>
          <w:rFonts w:ascii="Arial" w:eastAsia="宋体" w:hAnsi="Arial" w:cs="Arial"/>
          <w:color w:val="333333"/>
          <w:kern w:val="0"/>
          <w:sz w:val="24"/>
          <w:szCs w:val="24"/>
        </w:rPr>
        <w:t>50%</w:t>
      </w:r>
      <w:r w:rsidRPr="007745FF">
        <w:rPr>
          <w:rFonts w:ascii="Arial" w:eastAsia="宋体" w:hAnsi="Arial" w:cs="Arial"/>
          <w:color w:val="333333"/>
          <w:kern w:val="0"/>
          <w:sz w:val="24"/>
          <w:szCs w:val="24"/>
        </w:rPr>
        <w:t>或者更低）来开始研究。另外，给药的顺序也可能非常重要，联用的药物</w:t>
      </w:r>
      <w:r w:rsidRPr="007745FF">
        <w:rPr>
          <w:rFonts w:ascii="Arial" w:eastAsia="宋体" w:hAnsi="Arial" w:cs="Arial"/>
          <w:color w:val="333333"/>
          <w:kern w:val="0"/>
          <w:sz w:val="24"/>
          <w:szCs w:val="24"/>
        </w:rPr>
        <w:lastRenderedPageBreak/>
        <w:t>间给药顺序、给药间隔等都可能会影响药物的疗效和安全性，这些也必须在设计时给予充分考虑。</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目前尚无可行的方法来筛选联合用药中每种成分之间的剂量比例以优化效益－风险比。因此，在剂量设计方面优先考虑在单药治疗时活性最高的化合物，也是可以接受的。</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剂量递增</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剂量递增方案的确定要考虑药物临床前研究的暴露量</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效应</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毒性曲线关系和</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"https://baike.baidu.com/item/%E4%B8%AA%E4%BD%93%E5%B7%AE%E5%BC%82"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个体差异</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确定。通常采用改良的</w:t>
      </w:r>
      <w:r w:rsidRPr="007745FF">
        <w:rPr>
          <w:rFonts w:ascii="Arial" w:eastAsia="宋体" w:hAnsi="Arial" w:cs="Arial"/>
          <w:color w:val="333333"/>
          <w:kern w:val="0"/>
          <w:sz w:val="24"/>
          <w:szCs w:val="24"/>
        </w:rPr>
        <w:t xml:space="preserve">Fibonacci </w:t>
      </w:r>
      <w:r w:rsidRPr="007745FF">
        <w:rPr>
          <w:rFonts w:ascii="Arial" w:eastAsia="宋体" w:hAnsi="Arial" w:cs="Arial"/>
          <w:color w:val="333333"/>
          <w:kern w:val="0"/>
          <w:sz w:val="24"/>
          <w:szCs w:val="24"/>
        </w:rPr>
        <w:t>方法设计剂量爬坡方案，即在初始剂量后，依次按</w:t>
      </w:r>
      <w:r w:rsidRPr="007745FF">
        <w:rPr>
          <w:rFonts w:ascii="Arial" w:eastAsia="宋体" w:hAnsi="Arial" w:cs="Arial"/>
          <w:color w:val="333333"/>
          <w:kern w:val="0"/>
          <w:sz w:val="24"/>
          <w:szCs w:val="24"/>
        </w:rPr>
        <w:t>100%</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67%</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50%</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33%</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33%...</w:t>
      </w:r>
      <w:r w:rsidRPr="007745FF">
        <w:rPr>
          <w:rFonts w:ascii="Arial" w:eastAsia="宋体" w:hAnsi="Arial" w:cs="Arial"/>
          <w:color w:val="333333"/>
          <w:kern w:val="0"/>
          <w:sz w:val="24"/>
          <w:szCs w:val="24"/>
        </w:rPr>
        <w:t>递增。为尽量减少患者暴露于过低的无效剂量或高的毒性剂量</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建议根据药物特点调整剂量递增的幅度。可以采用其他剂量递增方案设计方法</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但研究方案中应阐明选择剂量递增方案的方法学和合理性，还应详细说明最大耐受剂量和剂量限制性毒性的具体定义。</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为避免更多受试者使用无效药物，在每一剂量水平应选用尽量少的可达到评价要求的患者，一般至少有</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名或</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名以上可评价的受试者。若出现明显毒性，应考虑增加受试者例数。如某一剂量组有</w:t>
      </w:r>
      <w:r w:rsidRPr="007745FF">
        <w:rPr>
          <w:rFonts w:ascii="Arial" w:eastAsia="宋体" w:hAnsi="Arial" w:cs="Arial"/>
          <w:color w:val="333333"/>
          <w:kern w:val="0"/>
          <w:sz w:val="24"/>
          <w:szCs w:val="24"/>
        </w:rPr>
        <w:t>1</w:t>
      </w:r>
      <w:proofErr w:type="gramStart"/>
      <w:r w:rsidRPr="007745FF">
        <w:rPr>
          <w:rFonts w:ascii="Arial" w:eastAsia="宋体" w:hAnsi="Arial" w:cs="Arial"/>
          <w:color w:val="333333"/>
          <w:kern w:val="0"/>
          <w:sz w:val="24"/>
          <w:szCs w:val="24"/>
        </w:rPr>
        <w:t>例出</w:t>
      </w:r>
      <w:proofErr w:type="gramEnd"/>
      <w:r w:rsidRPr="007745FF">
        <w:rPr>
          <w:rFonts w:ascii="Arial" w:eastAsia="宋体" w:hAnsi="Arial" w:cs="Arial"/>
          <w:color w:val="333333"/>
          <w:kern w:val="0"/>
          <w:sz w:val="24"/>
          <w:szCs w:val="24"/>
        </w:rPr>
        <w:t>现</w:t>
      </w:r>
      <w:r w:rsidRPr="007745FF">
        <w:rPr>
          <w:rFonts w:ascii="Arial" w:eastAsia="宋体" w:hAnsi="Arial" w:cs="Arial"/>
          <w:color w:val="333333"/>
          <w:kern w:val="0"/>
          <w:sz w:val="24"/>
          <w:szCs w:val="24"/>
        </w:rPr>
        <w:t>DLT</w:t>
      </w:r>
      <w:r w:rsidRPr="007745FF">
        <w:rPr>
          <w:rFonts w:ascii="Arial" w:eastAsia="宋体" w:hAnsi="Arial" w:cs="Arial"/>
          <w:color w:val="333333"/>
          <w:kern w:val="0"/>
          <w:sz w:val="24"/>
          <w:szCs w:val="24"/>
        </w:rPr>
        <w:t>，则该剂量水平应继续增加</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例受试者，如不再出现，可进入下一剂量组，如仍出现，则停止剂量爬坡。只有当特定剂量水平获得足够评价资料后方可进入下一个剂量水平。</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每个剂量组不应同时入组</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名或</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名以上受试者，每例受试者应在确定前一例受试者未出现严重不良反应，并且进行了足够长的观察时间之后方可入组。</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原则上，不能在同一患者进行剂量递增试验。若观察到很小的毒性反应，或偶尔的不明显毒性</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可在同一患者递增一个剂量，以减少患者接受无活性药物剂量的机会，但应有临床前毒理学试验结果提示试验药物无</w:t>
      </w:r>
      <w:hyperlink r:id="rId64" w:tgtFrame="_blank" w:history="1">
        <w:r w:rsidRPr="007745FF">
          <w:rPr>
            <w:rFonts w:ascii="Arial" w:eastAsia="宋体" w:hAnsi="Arial" w:cs="Arial"/>
            <w:color w:val="136EC2"/>
            <w:kern w:val="0"/>
            <w:sz w:val="24"/>
            <w:szCs w:val="24"/>
            <w:u w:val="single"/>
          </w:rPr>
          <w:t>蓄积</w:t>
        </w:r>
      </w:hyperlink>
      <w:r w:rsidRPr="007745FF">
        <w:rPr>
          <w:rFonts w:ascii="Arial" w:eastAsia="宋体" w:hAnsi="Arial" w:cs="Arial"/>
          <w:color w:val="333333"/>
          <w:kern w:val="0"/>
          <w:sz w:val="24"/>
          <w:szCs w:val="24"/>
        </w:rPr>
        <w:t>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试验药物的毒性反应可能延迟</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"https://baike.baidu.com/item/%E5%8F%91%E7%94%9F"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发生</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，所以需要观察足够长的时间，通常剂量递增试验的观察时间应当到用药后</w:t>
      </w:r>
      <w:r w:rsidRPr="007745FF">
        <w:rPr>
          <w:rFonts w:ascii="Arial" w:eastAsia="宋体" w:hAnsi="Arial" w:cs="Arial"/>
          <w:color w:val="333333"/>
          <w:kern w:val="0"/>
          <w:sz w:val="24"/>
          <w:szCs w:val="24"/>
        </w:rPr>
        <w:t>3-5</w:t>
      </w:r>
      <w:r w:rsidRPr="007745FF">
        <w:rPr>
          <w:rFonts w:ascii="Arial" w:eastAsia="宋体" w:hAnsi="Arial" w:cs="Arial"/>
          <w:color w:val="333333"/>
          <w:kern w:val="0"/>
          <w:sz w:val="24"/>
          <w:szCs w:val="24"/>
        </w:rPr>
        <w:t>周。如果受试者毒性是可以接受的，受试者可以在毒性恢复之后再次用药，并且在同一剂量水平最好至少接受</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个周期，以利于疗效的观察和评价。</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对于细胞毒药物，剂量逐渐递增到</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就可停止爬坡。有些非细胞毒类药物的毒性很小，可能在较高剂量下也不能观察到明显的</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。但即使</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"https://baike.baidu.com/item/%E8%8D%AF%E7%89%A9%E4%BD%9C%E7%94%A8"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药物作用</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的活性靶点已经饱和或在没有显著毒性的时候就观察到了明显疗效，也仍然建议研究更高的剂量，以便更好的明确化合物的安全性特点。如果剂量递增到可观察到疗效的剂量后，继续增加剂量并没有看到疗效的增加，而毒性明显增加，则应选择较低的剂量进行下一步的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给药间隔</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多次给药耐受性试验的给药间隔可参考临床前试验的推荐剂量间隔或肿瘤</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正常</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"https://baike.baidu.com/item/%E7%BB%84%E7%BB%87"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组织</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的药物毒</w:t>
      </w:r>
      <w:hyperlink r:id="rId65" w:tgtFrame="_blank" w:history="1">
        <w:r w:rsidRPr="007745FF">
          <w:rPr>
            <w:rFonts w:ascii="Arial" w:eastAsia="宋体" w:hAnsi="Arial" w:cs="Arial"/>
            <w:color w:val="136EC2"/>
            <w:kern w:val="0"/>
            <w:sz w:val="24"/>
            <w:szCs w:val="24"/>
            <w:u w:val="single"/>
          </w:rPr>
          <w:t>性比</w:t>
        </w:r>
      </w:hyperlink>
      <w:r w:rsidRPr="007745FF">
        <w:rPr>
          <w:rFonts w:ascii="Arial" w:eastAsia="宋体" w:hAnsi="Arial" w:cs="Arial"/>
          <w:color w:val="333333"/>
          <w:kern w:val="0"/>
          <w:sz w:val="24"/>
          <w:szCs w:val="24"/>
        </w:rPr>
        <w:t>率，并结合人体单次给药的耐受性、药代动力学研究结果进行设计或调整。</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参考同类别药物获得的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"https://baike.baidu.com/item/%E7%BB%8F%E9%AA%8C"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经验</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有助于选择给药间隔。在没有可参考临床资料时，细胞毒类药物可按照该类药物临床常规用法探索多种不同的给药方案，一般包括</w:t>
      </w:r>
      <w:r w:rsidRPr="007745FF">
        <w:rPr>
          <w:rFonts w:ascii="Arial" w:eastAsia="宋体" w:hAnsi="Arial" w:cs="Arial"/>
          <w:color w:val="333333"/>
          <w:kern w:val="0"/>
          <w:sz w:val="24"/>
          <w:szCs w:val="24"/>
        </w:rPr>
        <w:lastRenderedPageBreak/>
        <w:t>单剂量、每周一次、每日给药等给药方法，通过观察单次给药的毒性恢复时间来确定重复给药的间隔时间，每</w:t>
      </w:r>
      <w:r w:rsidRPr="007745FF">
        <w:rPr>
          <w:rFonts w:ascii="Arial" w:eastAsia="宋体" w:hAnsi="Arial" w:cs="Arial"/>
          <w:color w:val="333333"/>
          <w:kern w:val="0"/>
          <w:sz w:val="24"/>
          <w:szCs w:val="24"/>
        </w:rPr>
        <w:t>2-4</w:t>
      </w:r>
      <w:r w:rsidRPr="007745FF">
        <w:rPr>
          <w:rFonts w:ascii="Arial" w:eastAsia="宋体" w:hAnsi="Arial" w:cs="Arial"/>
          <w:color w:val="333333"/>
          <w:kern w:val="0"/>
          <w:sz w:val="24"/>
          <w:szCs w:val="24"/>
        </w:rPr>
        <w:t>周为一重复周期是较为常用的给药间隔。一些非细胞毒类药物（如酪氨酸激酶抑制剂）还应考虑其达到靶部位抑制的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"https://baike.baidu.com/item/%E7%A8%B3%E6%80%81"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稳态</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浓度，多采用连续给药的方式。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毒性反应观察和评价不良反应性质和严重程度的评价标准遵照当时国际上通用的药物毒性反应标准</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美国国立癌症研究所（</w:t>
      </w:r>
      <w:proofErr w:type="spellStart"/>
      <w:r w:rsidRPr="007745FF">
        <w:rPr>
          <w:rFonts w:ascii="Arial" w:eastAsia="宋体" w:hAnsi="Arial" w:cs="Arial"/>
          <w:color w:val="333333"/>
          <w:kern w:val="0"/>
          <w:sz w:val="24"/>
          <w:szCs w:val="24"/>
        </w:rPr>
        <w:t>NationalCancer</w:t>
      </w:r>
      <w:proofErr w:type="spellEnd"/>
      <w:r w:rsidRPr="007745FF">
        <w:rPr>
          <w:rFonts w:ascii="Arial" w:eastAsia="宋体" w:hAnsi="Arial" w:cs="Arial"/>
          <w:color w:val="333333"/>
          <w:kern w:val="0"/>
          <w:sz w:val="24"/>
          <w:szCs w:val="24"/>
        </w:rPr>
        <w:t xml:space="preserve"> </w:t>
      </w:r>
      <w:proofErr w:type="spellStart"/>
      <w:r w:rsidRPr="007745FF">
        <w:rPr>
          <w:rFonts w:ascii="Arial" w:eastAsia="宋体" w:hAnsi="Arial" w:cs="Arial"/>
          <w:color w:val="333333"/>
          <w:kern w:val="0"/>
          <w:sz w:val="24"/>
          <w:szCs w:val="24"/>
        </w:rPr>
        <w:t>Institute,NCI</w:t>
      </w:r>
      <w:proofErr w:type="spellEnd"/>
      <w:r w:rsidRPr="007745FF">
        <w:rPr>
          <w:rFonts w:ascii="Arial" w:eastAsia="宋体" w:hAnsi="Arial" w:cs="Arial"/>
          <w:color w:val="333333"/>
          <w:kern w:val="0"/>
          <w:sz w:val="24"/>
          <w:szCs w:val="24"/>
        </w:rPr>
        <w:t>）的常见毒性反应标准</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Common </w:t>
      </w:r>
      <w:proofErr w:type="spellStart"/>
      <w:r w:rsidRPr="007745FF">
        <w:rPr>
          <w:rFonts w:ascii="Arial" w:eastAsia="宋体" w:hAnsi="Arial" w:cs="Arial"/>
          <w:color w:val="333333"/>
          <w:kern w:val="0"/>
          <w:sz w:val="24"/>
          <w:szCs w:val="24"/>
        </w:rPr>
        <w:t>ToxicityCriteria</w:t>
      </w:r>
      <w:proofErr w:type="spellEnd"/>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CTC</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进行。尤其注意根据临床前研究结果以及在同类药物中观察到的不良反应来增加特别项目检查。也要特别注意临床前研究中未出现的毒性。给药部位的局部毒性要做特别记录，根据</w:t>
      </w:r>
      <w:r w:rsidRPr="007745FF">
        <w:rPr>
          <w:rFonts w:ascii="Arial" w:eastAsia="宋体" w:hAnsi="Arial" w:cs="Arial"/>
          <w:color w:val="333333"/>
          <w:kern w:val="0"/>
          <w:sz w:val="24"/>
          <w:szCs w:val="24"/>
        </w:rPr>
        <w:t>CTC</w:t>
      </w:r>
      <w:r w:rsidRPr="007745FF">
        <w:rPr>
          <w:rFonts w:ascii="Arial" w:eastAsia="宋体" w:hAnsi="Arial" w:cs="Arial"/>
          <w:color w:val="333333"/>
          <w:kern w:val="0"/>
          <w:sz w:val="24"/>
          <w:szCs w:val="24"/>
        </w:rPr>
        <w:t>标准对不良事件反应进行分级，</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"https://baike.baidu.com/item/%E5%88%A4%E6%96%AD"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判断</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不良事件与试验药物的相关性，毒性的可逆程度，与剂量、疗程的关系。</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不良事件的评价不仅包括试验用药，还应包括毒性影响因素的评价，如</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"https://baike.baidu.com/item/%E5%99%A8%E5%AE%98"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器官</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功能失调、联合用药等。这些影响因素还要在</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期临床试验中进一步说明。</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如果试验过程中发生死亡病例，应提供详细的个案报告。要特别明确死亡原因及其与研究用药的关系，如有</w:t>
      </w:r>
      <w:proofErr w:type="gramStart"/>
      <w:r w:rsidRPr="007745FF">
        <w:rPr>
          <w:rFonts w:ascii="Arial" w:eastAsia="宋体" w:hAnsi="Arial" w:cs="Arial"/>
          <w:color w:val="333333"/>
          <w:kern w:val="0"/>
          <w:sz w:val="24"/>
          <w:szCs w:val="24"/>
        </w:rPr>
        <w:t>可能需进</w:t>
      </w:r>
      <w:proofErr w:type="gramEnd"/>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"https://baike.baidu.com/item/%E8%A1%8C%E5%B0%B8"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行尸</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检并提供报告。</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药代动力学研究药代动力学研究主要描述药物的人体单次和多次给药的药代动力学特征，确定主要药代参数，试验设计包括</w:t>
      </w:r>
      <w:r w:rsidR="00721E66">
        <w:fldChar w:fldCharType="begin"/>
      </w:r>
      <w:r w:rsidR="00721E66">
        <w:instrText>HYPERLINK "https://baike.baidu.com/item/%E5%90%B8%E6%94%B6" \t "_blank"</w:instrText>
      </w:r>
      <w:r w:rsidR="00721E66">
        <w:fldChar w:fldCharType="separate"/>
      </w:r>
      <w:r w:rsidRPr="007745FF">
        <w:rPr>
          <w:rFonts w:ascii="Arial" w:eastAsia="宋体" w:hAnsi="Arial" w:cs="Arial"/>
          <w:color w:val="136EC2"/>
          <w:kern w:val="0"/>
          <w:sz w:val="24"/>
          <w:szCs w:val="24"/>
          <w:u w:val="single"/>
        </w:rPr>
        <w:t>吸收</w:t>
      </w:r>
      <w:r w:rsidR="00721E66">
        <w:fldChar w:fldCharType="end"/>
      </w:r>
      <w:r w:rsidRPr="007745FF">
        <w:rPr>
          <w:rFonts w:ascii="Arial" w:eastAsia="宋体" w:hAnsi="Arial" w:cs="Arial"/>
          <w:color w:val="333333"/>
          <w:kern w:val="0"/>
          <w:sz w:val="24"/>
          <w:szCs w:val="24"/>
        </w:rPr>
        <w:t>、分布、代谢和</w:t>
      </w:r>
      <w:hyperlink r:id="rId66" w:tgtFrame="_blank" w:history="1">
        <w:r w:rsidRPr="007745FF">
          <w:rPr>
            <w:rFonts w:ascii="Arial" w:eastAsia="宋体" w:hAnsi="Arial" w:cs="Arial"/>
            <w:color w:val="136EC2"/>
            <w:kern w:val="0"/>
            <w:sz w:val="24"/>
            <w:szCs w:val="24"/>
            <w:u w:val="single"/>
          </w:rPr>
          <w:t>排泄</w:t>
        </w:r>
      </w:hyperlink>
      <w:r w:rsidRPr="007745FF">
        <w:rPr>
          <w:rFonts w:ascii="Arial" w:eastAsia="宋体" w:hAnsi="Arial" w:cs="Arial"/>
          <w:color w:val="333333"/>
          <w:kern w:val="0"/>
          <w:sz w:val="24"/>
          <w:szCs w:val="24"/>
        </w:rPr>
        <w:t>的全过程研究。应重点评价药代动力学</w:t>
      </w:r>
      <w:proofErr w:type="gramStart"/>
      <w:r w:rsidRPr="007745FF">
        <w:rPr>
          <w:rFonts w:ascii="Arial" w:eastAsia="宋体" w:hAnsi="Arial" w:cs="Arial"/>
          <w:color w:val="333333"/>
          <w:kern w:val="0"/>
          <w:sz w:val="24"/>
          <w:szCs w:val="24"/>
        </w:rPr>
        <w:t>与其给</w:t>
      </w:r>
      <w:proofErr w:type="gramEnd"/>
      <w:r w:rsidRPr="007745FF">
        <w:rPr>
          <w:rFonts w:ascii="Arial" w:eastAsia="宋体" w:hAnsi="Arial" w:cs="Arial"/>
          <w:color w:val="333333"/>
          <w:kern w:val="0"/>
          <w:sz w:val="24"/>
          <w:szCs w:val="24"/>
        </w:rPr>
        <w:t>药剂量、安全性和临床疗效之间的关系（暴露</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效应关系），鼓励建立</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"https://baike.baidu.com/item/%E7%BE%A4%E4%BD%93"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群体</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PK/PD</w:t>
      </w:r>
      <w:r w:rsidRPr="007745FF">
        <w:rPr>
          <w:rFonts w:ascii="Arial" w:eastAsia="宋体" w:hAnsi="Arial" w:cs="Arial"/>
          <w:color w:val="333333"/>
          <w:kern w:val="0"/>
          <w:sz w:val="24"/>
          <w:szCs w:val="24"/>
        </w:rPr>
        <w:t>分析模型，这将有助于解释毒性反应，设计最佳给药剂量和给药方案。</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影像学技术有助于研究药物在肿瘤组织靶部位的分布，必要时也可考虑采用现代影像学技术进行人体</w:t>
      </w:r>
      <w:hyperlink r:id="rId67" w:tgtFrame="_blank" w:history="1">
        <w:r w:rsidRPr="007745FF">
          <w:rPr>
            <w:rFonts w:ascii="Arial" w:eastAsia="宋体" w:hAnsi="Arial" w:cs="Arial"/>
            <w:color w:val="136EC2"/>
            <w:kern w:val="0"/>
            <w:sz w:val="24"/>
            <w:szCs w:val="24"/>
            <w:u w:val="single"/>
          </w:rPr>
          <w:t>药物分布</w:t>
        </w:r>
      </w:hyperlink>
      <w:r w:rsidRPr="007745FF">
        <w:rPr>
          <w:rFonts w:ascii="Arial" w:eastAsia="宋体" w:hAnsi="Arial" w:cs="Arial"/>
          <w:color w:val="333333"/>
          <w:kern w:val="0"/>
          <w:sz w:val="24"/>
          <w:szCs w:val="24"/>
        </w:rPr>
        <w:t>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因为药物可能用于不同疾病状态或不同年龄的人群，因此可能需进行其他的特殊药代动力学研究，如肝肾功能不全患者、老年或儿童患者的药代动力学研究。同时要考虑进行影响</w:t>
      </w:r>
      <w:hyperlink r:id="rId68" w:tgtFrame="_blank" w:history="1">
        <w:r w:rsidRPr="007745FF">
          <w:rPr>
            <w:rFonts w:ascii="Arial" w:eastAsia="宋体" w:hAnsi="Arial" w:cs="Arial"/>
            <w:color w:val="136EC2"/>
            <w:kern w:val="0"/>
            <w:sz w:val="24"/>
            <w:szCs w:val="24"/>
            <w:u w:val="single"/>
          </w:rPr>
          <w:t>药物吸收</w:t>
        </w:r>
      </w:hyperlink>
      <w:r w:rsidRPr="007745FF">
        <w:rPr>
          <w:rFonts w:ascii="Arial" w:eastAsia="宋体" w:hAnsi="Arial" w:cs="Arial"/>
          <w:color w:val="333333"/>
          <w:kern w:val="0"/>
          <w:sz w:val="24"/>
          <w:szCs w:val="24"/>
        </w:rPr>
        <w:t>、代谢、分布和排泄的因素研究，如食物、合并用药、不同人种、性别的药代动力学研究。以上研究可根据临床研究的需要选择在临床研究不同阶段进行。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药代动力学研究可单独进行，也可与耐受性试验合并进行。但进行人体药代动力学研究需征得受试者知情同意。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6.</w:t>
      </w:r>
      <w:r w:rsidRPr="007745FF">
        <w:rPr>
          <w:rFonts w:ascii="Arial" w:eastAsia="宋体" w:hAnsi="Arial" w:cs="Arial"/>
          <w:color w:val="333333"/>
          <w:kern w:val="0"/>
          <w:sz w:val="24"/>
          <w:szCs w:val="24"/>
        </w:rPr>
        <w:t>疗效观察和评价由于抗肿瘤药物一般选择患者进行</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期临床试验，因此可初步观察受试者用药的肿瘤反应情况，为后期有效性研究提供参考。疗效的评价应遵照当时国际上通用的实体瘤疗效评价标准（</w:t>
      </w:r>
      <w:r w:rsidRPr="007745FF">
        <w:rPr>
          <w:rFonts w:ascii="Arial" w:eastAsia="宋体" w:hAnsi="Arial" w:cs="Arial"/>
          <w:color w:val="333333"/>
          <w:kern w:val="0"/>
          <w:sz w:val="24"/>
          <w:szCs w:val="24"/>
        </w:rPr>
        <w:t>RECIST</w:t>
      </w:r>
      <w:r w:rsidRPr="007745FF">
        <w:rPr>
          <w:rFonts w:ascii="Arial" w:eastAsia="宋体" w:hAnsi="Arial" w:cs="Arial"/>
          <w:color w:val="333333"/>
          <w:kern w:val="0"/>
          <w:sz w:val="24"/>
          <w:szCs w:val="24"/>
        </w:rPr>
        <w:t>标准）。在征得受试者同意的情况下，提倡获取其</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"https://baike.baidu.com/item/%E4%BD%93%E6%B6%B2"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体液</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w:t>
      </w:r>
      <w:hyperlink r:id="rId69" w:tgtFrame="_blank" w:history="1">
        <w:r w:rsidRPr="007745FF">
          <w:rPr>
            <w:rFonts w:ascii="Arial" w:eastAsia="宋体" w:hAnsi="Arial" w:cs="Arial"/>
            <w:color w:val="136EC2"/>
            <w:kern w:val="0"/>
            <w:sz w:val="24"/>
            <w:szCs w:val="24"/>
            <w:u w:val="single"/>
          </w:rPr>
          <w:t>血液</w:t>
        </w:r>
      </w:hyperlink>
      <w:r w:rsidRPr="007745FF">
        <w:rPr>
          <w:rFonts w:ascii="Arial" w:eastAsia="宋体" w:hAnsi="Arial" w:cs="Arial"/>
          <w:color w:val="333333"/>
          <w:kern w:val="0"/>
          <w:sz w:val="24"/>
          <w:szCs w:val="24"/>
        </w:rPr>
        <w:t>/</w:t>
      </w:r>
      <w:hyperlink r:id="rId70" w:tgtFrame="_blank" w:history="1">
        <w:r w:rsidRPr="007745FF">
          <w:rPr>
            <w:rFonts w:ascii="Arial" w:eastAsia="宋体" w:hAnsi="Arial" w:cs="Arial"/>
            <w:color w:val="136EC2"/>
            <w:kern w:val="0"/>
            <w:sz w:val="24"/>
            <w:szCs w:val="24"/>
            <w:u w:val="single"/>
          </w:rPr>
          <w:t>血清</w:t>
        </w:r>
      </w:hyperlink>
      <w:r w:rsidRPr="007745FF">
        <w:rPr>
          <w:rFonts w:ascii="Arial" w:eastAsia="宋体" w:hAnsi="Arial" w:cs="Arial"/>
          <w:color w:val="333333"/>
          <w:kern w:val="0"/>
          <w:sz w:val="24"/>
          <w:szCs w:val="24"/>
        </w:rPr>
        <w:t>、组织进行相关的肿瘤标记物检测和合理预测其可能的疗效，</w:t>
      </w:r>
      <w:proofErr w:type="gramStart"/>
      <w:r w:rsidRPr="007745FF">
        <w:rPr>
          <w:rFonts w:ascii="Arial" w:eastAsia="宋体" w:hAnsi="Arial" w:cs="Arial"/>
          <w:color w:val="333333"/>
          <w:kern w:val="0"/>
          <w:sz w:val="24"/>
          <w:szCs w:val="24"/>
        </w:rPr>
        <w:t>如分子靶</w:t>
      </w:r>
      <w:proofErr w:type="gramEnd"/>
      <w:r w:rsidRPr="007745FF">
        <w:rPr>
          <w:rFonts w:ascii="Arial" w:eastAsia="宋体" w:hAnsi="Arial" w:cs="Arial"/>
          <w:color w:val="333333"/>
          <w:kern w:val="0"/>
          <w:sz w:val="24"/>
          <w:szCs w:val="24"/>
        </w:rPr>
        <w:t>向抗肿瘤药物可通过测定特定标记物来初步预测其药理活性。若研究者判断受试者能够</w:t>
      </w:r>
      <w:proofErr w:type="gramStart"/>
      <w:r w:rsidRPr="007745FF">
        <w:rPr>
          <w:rFonts w:ascii="Arial" w:eastAsia="宋体" w:hAnsi="Arial" w:cs="Arial"/>
          <w:color w:val="333333"/>
          <w:kern w:val="0"/>
          <w:sz w:val="24"/>
          <w:szCs w:val="24"/>
        </w:rPr>
        <w:t>耐受且</w:t>
      </w:r>
      <w:proofErr w:type="gramEnd"/>
      <w:r w:rsidRPr="007745FF">
        <w:rPr>
          <w:rFonts w:ascii="Arial" w:eastAsia="宋体" w:hAnsi="Arial" w:cs="Arial"/>
          <w:color w:val="333333"/>
          <w:kern w:val="0"/>
          <w:sz w:val="24"/>
          <w:szCs w:val="24"/>
        </w:rPr>
        <w:t>有可能继续获益的情况下也可以考虑持续用药多个疗程，有助于评价初步疗效。</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w:t>
      </w:r>
      <w:r w:rsidRPr="007745FF">
        <w:rPr>
          <w:rFonts w:ascii="Arial" w:eastAsia="宋体" w:hAnsi="Arial" w:cs="Arial"/>
          <w:color w:val="333333"/>
          <w:kern w:val="0"/>
          <w:sz w:val="24"/>
          <w:szCs w:val="24"/>
        </w:rPr>
        <w:t>I</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纳入受试者数量少，尚不足以确定其可能的疗效如缓解率，因此</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期临床试验的疗效评价要特别谨慎。</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7.</w:t>
      </w:r>
      <w:r w:rsidRPr="007745FF">
        <w:rPr>
          <w:rFonts w:ascii="Arial" w:eastAsia="宋体" w:hAnsi="Arial" w:cs="Arial"/>
          <w:color w:val="333333"/>
          <w:kern w:val="0"/>
          <w:sz w:val="24"/>
          <w:szCs w:val="24"/>
        </w:rPr>
        <w:t>试验结束</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"https://baike.baidu.com/item/%E6%88%96%E4%B8%AD"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或中</w:t>
      </w:r>
      <w:r w:rsidR="00721E66" w:rsidRPr="007745FF">
        <w:rPr>
          <w:rFonts w:ascii="Arial" w:eastAsia="宋体" w:hAnsi="Arial" w:cs="Arial"/>
          <w:color w:val="333333"/>
          <w:kern w:val="0"/>
          <w:sz w:val="24"/>
          <w:szCs w:val="24"/>
        </w:rPr>
        <w:fldChar w:fldCharType="end"/>
      </w:r>
      <w:proofErr w:type="gramStart"/>
      <w:r w:rsidRPr="007745FF">
        <w:rPr>
          <w:rFonts w:ascii="Arial" w:eastAsia="宋体" w:hAnsi="Arial" w:cs="Arial"/>
          <w:color w:val="333333"/>
          <w:kern w:val="0"/>
          <w:sz w:val="24"/>
          <w:szCs w:val="24"/>
        </w:rPr>
        <w:t>止对于</w:t>
      </w:r>
      <w:proofErr w:type="gramEnd"/>
      <w:r w:rsidRPr="007745FF">
        <w:rPr>
          <w:rFonts w:ascii="Arial" w:eastAsia="宋体" w:hAnsi="Arial" w:cs="Arial"/>
          <w:color w:val="333333"/>
          <w:kern w:val="0"/>
          <w:sz w:val="24"/>
          <w:szCs w:val="24"/>
        </w:rPr>
        <w:t>细胞毒药物，</w:t>
      </w:r>
      <w:proofErr w:type="gramStart"/>
      <w:r w:rsidRPr="007745FF">
        <w:rPr>
          <w:rFonts w:ascii="Arial" w:eastAsia="宋体" w:hAnsi="Arial" w:cs="Arial"/>
          <w:color w:val="333333"/>
          <w:kern w:val="0"/>
          <w:sz w:val="24"/>
          <w:szCs w:val="24"/>
        </w:rPr>
        <w:t>若探索</w:t>
      </w:r>
      <w:proofErr w:type="gramEnd"/>
      <w:r w:rsidRPr="007745FF">
        <w:rPr>
          <w:rFonts w:ascii="Arial" w:eastAsia="宋体" w:hAnsi="Arial" w:cs="Arial"/>
          <w:color w:val="333333"/>
          <w:kern w:val="0"/>
          <w:sz w:val="24"/>
          <w:szCs w:val="24"/>
        </w:rPr>
        <w:t>出</w:t>
      </w:r>
      <w:r w:rsidRPr="007745FF">
        <w:rPr>
          <w:rFonts w:ascii="Arial" w:eastAsia="宋体" w:hAnsi="Arial" w:cs="Arial"/>
          <w:color w:val="333333"/>
          <w:kern w:val="0"/>
          <w:sz w:val="24"/>
          <w:szCs w:val="24"/>
        </w:rPr>
        <w:t>DLT</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剂量和毒性</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"https://baike.baidu.com/item/%E9%9D%B6%E5%99%A8%E5%AE%98"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靶器官</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，可考虑结束临床试验。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若遇到以下情况时，应考虑患者提前中止试验：</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）有证据表明疾病进展；</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）出现不可接受的不良反应；</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）患者要求退出；</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）研究者判断不适宜继续进行临床试验。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若遇到以下情况时，应考虑提前中止试验或考虑试验方案的调整：</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）多个受试者出现提前中止事件；</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）不良反应发生率和严重性显示</w:t>
      </w:r>
      <w:proofErr w:type="gramStart"/>
      <w:r w:rsidRPr="007745FF">
        <w:rPr>
          <w:rFonts w:ascii="Arial" w:eastAsia="宋体" w:hAnsi="Arial" w:cs="Arial"/>
          <w:color w:val="333333"/>
          <w:kern w:val="0"/>
          <w:sz w:val="24"/>
          <w:szCs w:val="24"/>
        </w:rPr>
        <w:t>弊</w:t>
      </w:r>
      <w:proofErr w:type="gramEnd"/>
      <w:r w:rsidRPr="007745FF">
        <w:rPr>
          <w:rFonts w:ascii="Arial" w:eastAsia="宋体" w:hAnsi="Arial" w:cs="Arial"/>
          <w:color w:val="333333"/>
          <w:kern w:val="0"/>
          <w:sz w:val="24"/>
          <w:szCs w:val="24"/>
        </w:rPr>
        <w:t>大于利；</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）受试者招募不</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"https://baike.baidu.com/item/%E7%90%86%E6%83%B3"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理想</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）数据记录质量太差，不准确和不完善；</w:t>
      </w: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）出现与药物相关的死亡。</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8.</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期临床试验的总结试验结束后应根据</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期临床试验的设计、研究过程和结果，同时结合临床前研究结果进行综合分析，评价研究目的是否达到或可能存在问题。通常应对以下内容进行总结：</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）最大耐受剂量（</w:t>
      </w:r>
      <w:r w:rsidRPr="007745FF">
        <w:rPr>
          <w:rFonts w:ascii="Arial" w:eastAsia="宋体" w:hAnsi="Arial" w:cs="Arial"/>
          <w:color w:val="333333"/>
          <w:kern w:val="0"/>
          <w:sz w:val="24"/>
          <w:szCs w:val="24"/>
        </w:rPr>
        <w:t>MTD</w:t>
      </w:r>
      <w:r w:rsidRPr="007745FF">
        <w:rPr>
          <w:rFonts w:ascii="Arial" w:eastAsia="宋体" w:hAnsi="Arial" w:cs="Arial"/>
          <w:color w:val="333333"/>
          <w:kern w:val="0"/>
          <w:sz w:val="24"/>
          <w:szCs w:val="24"/>
        </w:rPr>
        <w:t>）或剂量限制性的毒性（</w:t>
      </w:r>
      <w:r w:rsidRPr="007745FF">
        <w:rPr>
          <w:rFonts w:ascii="Arial" w:eastAsia="宋体" w:hAnsi="Arial" w:cs="Arial"/>
          <w:color w:val="333333"/>
          <w:kern w:val="0"/>
          <w:sz w:val="24"/>
          <w:szCs w:val="24"/>
        </w:rPr>
        <w:t>DLT</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 xml:space="preserve"> 2</w:t>
      </w:r>
      <w:r w:rsidRPr="007745FF">
        <w:rPr>
          <w:rFonts w:ascii="Arial" w:eastAsia="宋体" w:hAnsi="Arial" w:cs="Arial"/>
          <w:color w:val="333333"/>
          <w:kern w:val="0"/>
          <w:sz w:val="24"/>
          <w:szCs w:val="24"/>
        </w:rPr>
        <w:t>）毒性反应的类型、发生率、严重程度、预防和</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"https://baike.baidu.com/item/%E6%8E%A7%E5%88%B6"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控制</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措施、与剂量和疗程的关系等；</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）初步疗效结果，如肿瘤客观缓解率（</w:t>
      </w:r>
      <w:r w:rsidRPr="007745FF">
        <w:rPr>
          <w:rFonts w:ascii="Arial" w:eastAsia="宋体" w:hAnsi="Arial" w:cs="Arial"/>
          <w:color w:val="333333"/>
          <w:kern w:val="0"/>
          <w:sz w:val="24"/>
          <w:szCs w:val="24"/>
        </w:rPr>
        <w:t>ORR</w:t>
      </w:r>
      <w:r w:rsidRPr="007745FF">
        <w:rPr>
          <w:rFonts w:ascii="Arial" w:eastAsia="宋体" w:hAnsi="Arial" w:cs="Arial"/>
          <w:color w:val="333333"/>
          <w:kern w:val="0"/>
          <w:sz w:val="24"/>
          <w:szCs w:val="24"/>
        </w:rPr>
        <w:t>，</w:t>
      </w:r>
      <w:proofErr w:type="spellStart"/>
      <w:r w:rsidRPr="007745FF">
        <w:rPr>
          <w:rFonts w:ascii="Arial" w:eastAsia="宋体" w:hAnsi="Arial" w:cs="Arial"/>
          <w:color w:val="333333"/>
          <w:kern w:val="0"/>
          <w:sz w:val="24"/>
          <w:szCs w:val="24"/>
        </w:rPr>
        <w:t>ObjectiveResponse</w:t>
      </w:r>
      <w:proofErr w:type="spellEnd"/>
      <w:r w:rsidRPr="007745FF">
        <w:rPr>
          <w:rFonts w:ascii="Arial" w:eastAsia="宋体" w:hAnsi="Arial" w:cs="Arial"/>
          <w:color w:val="333333"/>
          <w:kern w:val="0"/>
          <w:sz w:val="24"/>
          <w:szCs w:val="24"/>
        </w:rPr>
        <w:t xml:space="preserve"> Rate</w:t>
      </w:r>
      <w:r w:rsidRPr="007745FF">
        <w:rPr>
          <w:rFonts w:ascii="Arial" w:eastAsia="宋体" w:hAnsi="Arial" w:cs="Arial"/>
          <w:color w:val="333333"/>
          <w:kern w:val="0"/>
          <w:sz w:val="24"/>
          <w:szCs w:val="24"/>
        </w:rPr>
        <w:t>），包括疗效评价的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"https://baike.baidu.com/item/%E8%82%BF%E7%98%A4%E6%A0%87%E5%BF%97%E7%89%A9"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肿瘤标志物</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）药代动力学参数及其与药效</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毒性间的关系（</w:t>
      </w:r>
      <w:r w:rsidRPr="007745FF">
        <w:rPr>
          <w:rFonts w:ascii="Arial" w:eastAsia="宋体" w:hAnsi="Arial" w:cs="Arial"/>
          <w:color w:val="333333"/>
          <w:kern w:val="0"/>
          <w:sz w:val="24"/>
          <w:szCs w:val="24"/>
        </w:rPr>
        <w:t>PK/PD</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期临床试验的拟定受试人群、推荐剂量和给药方法。若单项</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期临床试验结果难以支持后续的</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期临床试验，可进行的其他项目的</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期临床试验，或非临床研究。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b/>
          <w:bCs/>
          <w:color w:val="333333"/>
          <w:kern w:val="0"/>
          <w:sz w:val="24"/>
          <w:szCs w:val="24"/>
        </w:rPr>
        <w:t>（二）</w:t>
      </w:r>
      <w:r w:rsidRPr="007745FF">
        <w:rPr>
          <w:rFonts w:ascii="宋体" w:eastAsia="宋体" w:hAnsi="宋体" w:cs="宋体" w:hint="eastAsia"/>
          <w:b/>
          <w:bCs/>
          <w:color w:val="333333"/>
          <w:kern w:val="0"/>
          <w:sz w:val="24"/>
          <w:szCs w:val="24"/>
        </w:rPr>
        <w:t>Ⅱ</w:t>
      </w:r>
      <w:r w:rsidRPr="007745FF">
        <w:rPr>
          <w:rFonts w:ascii="Arial" w:eastAsia="宋体" w:hAnsi="Arial" w:cs="Arial"/>
          <w:b/>
          <w:bCs/>
          <w:color w:val="333333"/>
          <w:kern w:val="0"/>
          <w:sz w:val="24"/>
          <w:szCs w:val="24"/>
        </w:rPr>
        <w:t>期临床试验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期临床试验是在</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期临床试验明确了药物的毒性靶器官并且认为药物的毒性基本在可以接受范围内的基础上进行的探索性试验，</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期临床试验可以有不同的目的，如在不同类型的肿瘤中或某一</w:t>
      </w:r>
      <w:proofErr w:type="gramStart"/>
      <w:r w:rsidRPr="007745FF">
        <w:rPr>
          <w:rFonts w:ascii="Arial" w:eastAsia="宋体" w:hAnsi="Arial" w:cs="Arial"/>
          <w:color w:val="333333"/>
          <w:kern w:val="0"/>
          <w:sz w:val="24"/>
          <w:szCs w:val="24"/>
        </w:rPr>
        <w:t>拟定瘤种中</w:t>
      </w:r>
      <w:proofErr w:type="gramEnd"/>
      <w:r w:rsidRPr="007745FF">
        <w:rPr>
          <w:rFonts w:ascii="Arial" w:eastAsia="宋体" w:hAnsi="Arial" w:cs="Arial"/>
          <w:color w:val="333333"/>
          <w:kern w:val="0"/>
          <w:sz w:val="24"/>
          <w:szCs w:val="24"/>
        </w:rPr>
        <w:t>进一步探索药物的抗肿瘤活性；给药剂量与给药方案的探索等。</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期临床试验可获得以下几方面的信息：判断药物是否具有抗肿瘤活性；判断对药物</w:t>
      </w:r>
      <w:proofErr w:type="gramStart"/>
      <w:r w:rsidRPr="007745FF">
        <w:rPr>
          <w:rFonts w:ascii="Arial" w:eastAsia="宋体" w:hAnsi="Arial" w:cs="Arial"/>
          <w:color w:val="333333"/>
          <w:kern w:val="0"/>
          <w:sz w:val="24"/>
          <w:szCs w:val="24"/>
        </w:rPr>
        <w:t>敏感瘤种以</w:t>
      </w:r>
      <w:proofErr w:type="gramEnd"/>
      <w:r w:rsidRPr="007745FF">
        <w:rPr>
          <w:rFonts w:ascii="Arial" w:eastAsia="宋体" w:hAnsi="Arial" w:cs="Arial"/>
          <w:color w:val="333333"/>
          <w:kern w:val="0"/>
          <w:sz w:val="24"/>
          <w:szCs w:val="24"/>
        </w:rPr>
        <w:t>决定进一步开发；判断对药物不</w:t>
      </w:r>
      <w:proofErr w:type="gramStart"/>
      <w:r w:rsidRPr="007745FF">
        <w:rPr>
          <w:rFonts w:ascii="Arial" w:eastAsia="宋体" w:hAnsi="Arial" w:cs="Arial"/>
          <w:color w:val="333333"/>
          <w:kern w:val="0"/>
          <w:sz w:val="24"/>
          <w:szCs w:val="24"/>
        </w:rPr>
        <w:t>敏感瘤种从而</w:t>
      </w:r>
      <w:proofErr w:type="gramEnd"/>
      <w:r w:rsidRPr="007745FF">
        <w:rPr>
          <w:rFonts w:ascii="Arial" w:eastAsia="宋体" w:hAnsi="Arial" w:cs="Arial"/>
          <w:color w:val="333333"/>
          <w:kern w:val="0"/>
          <w:sz w:val="24"/>
          <w:szCs w:val="24"/>
        </w:rPr>
        <w:t>停止对</w:t>
      </w:r>
      <w:proofErr w:type="gramStart"/>
      <w:r w:rsidRPr="007745FF">
        <w:rPr>
          <w:rFonts w:ascii="Arial" w:eastAsia="宋体" w:hAnsi="Arial" w:cs="Arial"/>
          <w:color w:val="333333"/>
          <w:kern w:val="0"/>
          <w:sz w:val="24"/>
          <w:szCs w:val="24"/>
        </w:rPr>
        <w:t>这些瘤种的</w:t>
      </w:r>
      <w:proofErr w:type="gramEnd"/>
      <w:r w:rsidRPr="007745FF">
        <w:rPr>
          <w:rFonts w:ascii="Arial" w:eastAsia="宋体" w:hAnsi="Arial" w:cs="Arial"/>
          <w:color w:val="333333"/>
          <w:kern w:val="0"/>
          <w:sz w:val="24"/>
          <w:szCs w:val="24"/>
        </w:rPr>
        <w:t>开发；判断给药剂量与方案的可行性等。一个有效的</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期临床试验可淘汰无效药物</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选择敏感瘤种，为</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期临床试验的决策提供充分依据。</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研究目的主要目的是考察药物是否具有抗肿瘤作用，了解药物的抗肿瘤谱，同时应更为详细地进行药物不良反应的观察</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除了常见不良反应之外，还应注意观察药物少见的毒性，药物的蓄积性和重复给药毒性，并提出预防和处理毒性的方法。</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进一步探索和优化</w:t>
      </w:r>
      <w:r w:rsidRPr="007745FF">
        <w:rPr>
          <w:rFonts w:ascii="Arial" w:eastAsia="宋体" w:hAnsi="Arial" w:cs="Arial"/>
          <w:color w:val="333333"/>
          <w:kern w:val="0"/>
          <w:sz w:val="24"/>
          <w:szCs w:val="24"/>
        </w:rPr>
        <w:t>I</w:t>
      </w:r>
      <w:r w:rsidRPr="007745FF">
        <w:rPr>
          <w:rFonts w:ascii="Arial" w:eastAsia="宋体" w:hAnsi="Arial" w:cs="Arial"/>
          <w:color w:val="333333"/>
          <w:kern w:val="0"/>
          <w:sz w:val="24"/>
          <w:szCs w:val="24"/>
        </w:rPr>
        <w:t>期推荐的给药方案，包括给药剂量、给药间隔、疗程、联合放化疗等。同时需要进一步阐明给药方案与安全有效性的关系。</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试验设计由于</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期临床试验是探索性研究，而非确证性研究。因此可以采用多阶段设计、自适应设计（</w:t>
      </w:r>
      <w:r w:rsidRPr="007745FF">
        <w:rPr>
          <w:rFonts w:ascii="Arial" w:eastAsia="宋体" w:hAnsi="Arial" w:cs="Arial"/>
          <w:color w:val="333333"/>
          <w:kern w:val="0"/>
          <w:sz w:val="24"/>
          <w:szCs w:val="24"/>
        </w:rPr>
        <w:t>Adaptive Design</w:t>
      </w:r>
      <w:r w:rsidRPr="007745FF">
        <w:rPr>
          <w:rFonts w:ascii="Arial" w:eastAsia="宋体" w:hAnsi="Arial" w:cs="Arial"/>
          <w:color w:val="333333"/>
          <w:kern w:val="0"/>
          <w:sz w:val="24"/>
          <w:szCs w:val="24"/>
        </w:rPr>
        <w:t>）等较为灵活的设计方法。</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由于恶性肿瘤几乎不可能自行</w:t>
      </w:r>
      <w:hyperlink r:id="rId71" w:tgtFrame="_blank" w:history="1">
        <w:r w:rsidRPr="007745FF">
          <w:rPr>
            <w:rFonts w:ascii="Arial" w:eastAsia="宋体" w:hAnsi="Arial" w:cs="Arial"/>
            <w:color w:val="136EC2"/>
            <w:kern w:val="0"/>
            <w:sz w:val="24"/>
            <w:szCs w:val="24"/>
            <w:u w:val="single"/>
          </w:rPr>
          <w:t>消退</w:t>
        </w:r>
      </w:hyperlink>
      <w:r w:rsidRPr="007745FF">
        <w:rPr>
          <w:rFonts w:ascii="Arial" w:eastAsia="宋体" w:hAnsi="Arial" w:cs="Arial"/>
          <w:color w:val="333333"/>
          <w:kern w:val="0"/>
          <w:sz w:val="24"/>
          <w:szCs w:val="24"/>
        </w:rPr>
        <w:t>，可以认为肿瘤的缩小几乎完全是药物的作用，因此在探索单药治疗效果时，可采用单臂设计（</w:t>
      </w:r>
      <w:r w:rsidRPr="007745FF">
        <w:rPr>
          <w:rFonts w:ascii="Arial" w:eastAsia="宋体" w:hAnsi="Arial" w:cs="Arial"/>
          <w:color w:val="333333"/>
          <w:kern w:val="0"/>
          <w:sz w:val="24"/>
          <w:szCs w:val="24"/>
        </w:rPr>
        <w:t>Single-arm Design</w:t>
      </w:r>
      <w:r w:rsidRPr="007745FF">
        <w:rPr>
          <w:rFonts w:ascii="Arial" w:eastAsia="宋体" w:hAnsi="Arial" w:cs="Arial"/>
          <w:color w:val="333333"/>
          <w:kern w:val="0"/>
          <w:sz w:val="24"/>
          <w:szCs w:val="24"/>
        </w:rPr>
        <w:t>）或剂量对照。但在有常规标准有效治疗方法时，应尽量采用随机对照设计，将常规</w:t>
      </w:r>
      <w:r w:rsidRPr="007745FF">
        <w:rPr>
          <w:rFonts w:ascii="Arial" w:eastAsia="宋体" w:hAnsi="Arial" w:cs="Arial"/>
          <w:color w:val="333333"/>
          <w:kern w:val="0"/>
          <w:sz w:val="24"/>
          <w:szCs w:val="24"/>
        </w:rPr>
        <w:lastRenderedPageBreak/>
        <w:t>标准有效治疗方法作为对照，目的是尽量在临床试验的早期阶段就能检验出药物相对已有治疗在疗效上是否具有优势，提高判断是否进入下一阶段研究的把握度。</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采用联合治疗可能无法将单药的单独疗效和毒性从整体中</w:t>
      </w:r>
      <w:hyperlink r:id="rId72" w:tgtFrame="_blank" w:history="1">
        <w:r w:rsidRPr="007745FF">
          <w:rPr>
            <w:rFonts w:ascii="Arial" w:eastAsia="宋体" w:hAnsi="Arial" w:cs="Arial"/>
            <w:color w:val="136EC2"/>
            <w:kern w:val="0"/>
            <w:sz w:val="24"/>
            <w:szCs w:val="24"/>
            <w:u w:val="single"/>
          </w:rPr>
          <w:t>分离</w:t>
        </w:r>
      </w:hyperlink>
      <w:r w:rsidRPr="007745FF">
        <w:rPr>
          <w:rFonts w:ascii="Arial" w:eastAsia="宋体" w:hAnsi="Arial" w:cs="Arial"/>
          <w:color w:val="333333"/>
          <w:kern w:val="0"/>
          <w:sz w:val="24"/>
          <w:szCs w:val="24"/>
        </w:rPr>
        <w:t>出来，因此，在</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期临床试验设计中尽可能采用单药治疗，从而可以最有效地反映药物的疗效和安全性。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如果单药难以实施，或单药治疗不符合伦理要求，必须进行联合治疗，在启动</w:t>
      </w:r>
      <w:r w:rsidRPr="007745FF">
        <w:rPr>
          <w:rFonts w:ascii="宋体" w:eastAsia="宋体" w:hAnsi="宋体" w:cs="宋体" w:hint="eastAsia"/>
          <w:color w:val="333333"/>
          <w:kern w:val="0"/>
          <w:sz w:val="24"/>
          <w:szCs w:val="24"/>
        </w:rPr>
        <w:t>Ⅲ</w:t>
      </w:r>
      <w:proofErr w:type="gramStart"/>
      <w:r w:rsidRPr="007745FF">
        <w:rPr>
          <w:rFonts w:ascii="Arial" w:eastAsia="宋体" w:hAnsi="Arial" w:cs="Arial"/>
          <w:color w:val="333333"/>
          <w:kern w:val="0"/>
          <w:sz w:val="24"/>
          <w:szCs w:val="24"/>
        </w:rPr>
        <w:t>期联合</w:t>
      </w:r>
      <w:proofErr w:type="gramEnd"/>
      <w:r w:rsidRPr="007745FF">
        <w:rPr>
          <w:rFonts w:ascii="Arial" w:eastAsia="宋体" w:hAnsi="Arial" w:cs="Arial"/>
          <w:color w:val="333333"/>
          <w:kern w:val="0"/>
          <w:sz w:val="24"/>
          <w:szCs w:val="24"/>
        </w:rPr>
        <w:t>治疗的确证性研究之前，应先进行随机对照的</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期研究，探索试验药物与其他药物联合治疗效果与安全性，判断试验药物在联合方案中的作用。</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期临床试验的另一个目的是早期淘汰一些有效率低或不良反应高</w:t>
      </w:r>
      <w:proofErr w:type="gramStart"/>
      <w:r w:rsidRPr="007745FF">
        <w:rPr>
          <w:rFonts w:ascii="Arial" w:eastAsia="宋体" w:hAnsi="Arial" w:cs="Arial"/>
          <w:color w:val="333333"/>
          <w:kern w:val="0"/>
          <w:sz w:val="24"/>
          <w:szCs w:val="24"/>
        </w:rPr>
        <w:t>的瘤种或</w:t>
      </w:r>
      <w:proofErr w:type="gramEnd"/>
      <w:r w:rsidRPr="007745FF">
        <w:rPr>
          <w:rFonts w:ascii="Arial" w:eastAsia="宋体" w:hAnsi="Arial" w:cs="Arial"/>
          <w:color w:val="333333"/>
          <w:kern w:val="0"/>
          <w:sz w:val="24"/>
          <w:szCs w:val="24"/>
        </w:rPr>
        <w:t>用药剂量、方案，避免更多的患者接受无效的治疗，因此应预先设定合理的中止标准，及早</w:t>
      </w:r>
      <w:proofErr w:type="gramStart"/>
      <w:r w:rsidRPr="007745FF">
        <w:rPr>
          <w:rFonts w:ascii="Arial" w:eastAsia="宋体" w:hAnsi="Arial" w:cs="Arial"/>
          <w:color w:val="333333"/>
          <w:kern w:val="0"/>
          <w:sz w:val="24"/>
          <w:szCs w:val="24"/>
        </w:rPr>
        <w:t>作出</w:t>
      </w:r>
      <w:proofErr w:type="gramEnd"/>
      <w:r w:rsidRPr="007745FF">
        <w:rPr>
          <w:rFonts w:ascii="Arial" w:eastAsia="宋体" w:hAnsi="Arial" w:cs="Arial"/>
          <w:color w:val="333333"/>
          <w:kern w:val="0"/>
          <w:sz w:val="24"/>
          <w:szCs w:val="24"/>
        </w:rPr>
        <w:t>判断停止继续入选患者。</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受试人群的选择</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期临床试验的受试者的入选条件与</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期基本相同，或根据</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期研究结果进行适当调整，但每个受试者应至少有一个按</w:t>
      </w:r>
      <w:r w:rsidRPr="007745FF">
        <w:rPr>
          <w:rFonts w:ascii="Arial" w:eastAsia="宋体" w:hAnsi="Arial" w:cs="Arial"/>
          <w:color w:val="333333"/>
          <w:kern w:val="0"/>
          <w:sz w:val="24"/>
          <w:szCs w:val="24"/>
        </w:rPr>
        <w:t xml:space="preserve">RECIST </w:t>
      </w:r>
      <w:r w:rsidRPr="007745FF">
        <w:rPr>
          <w:rFonts w:ascii="Arial" w:eastAsia="宋体" w:hAnsi="Arial" w:cs="Arial"/>
          <w:color w:val="333333"/>
          <w:kern w:val="0"/>
          <w:sz w:val="24"/>
          <w:szCs w:val="24"/>
        </w:rPr>
        <w:t>标准可测量的肿瘤病灶</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以</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"https://baike.baidu.com/item/%E5%AE%9A%E9%87%8F%E5%88%86%E6%9E%90"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定量分析</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药物的抗肿瘤疗效。</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在某些特殊罕见情况下，如</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"https://baike.baidu.com/item/%E8%84%91%E5%B9%B2"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脑干</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胶质瘤等，由于进行组织</w:t>
      </w:r>
      <w:hyperlink r:id="rId73" w:tgtFrame="_blank" w:history="1">
        <w:r w:rsidRPr="007745FF">
          <w:rPr>
            <w:rFonts w:ascii="Arial" w:eastAsia="宋体" w:hAnsi="Arial" w:cs="Arial"/>
            <w:color w:val="136EC2"/>
            <w:kern w:val="0"/>
            <w:sz w:val="24"/>
            <w:szCs w:val="24"/>
            <w:u w:val="single"/>
          </w:rPr>
          <w:t>病理学</w:t>
        </w:r>
      </w:hyperlink>
      <w:r w:rsidRPr="007745FF">
        <w:rPr>
          <w:rFonts w:ascii="Arial" w:eastAsia="宋体" w:hAnsi="Arial" w:cs="Arial"/>
          <w:color w:val="333333"/>
          <w:kern w:val="0"/>
          <w:sz w:val="24"/>
          <w:szCs w:val="24"/>
        </w:rPr>
        <w:t>和</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或细胞学检查可能会给受试者带来严重后果，可根据临床、放射学和</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或实验室检查等</w:t>
      </w:r>
      <w:proofErr w:type="gramStart"/>
      <w:r w:rsidRPr="007745FF">
        <w:rPr>
          <w:rFonts w:ascii="Arial" w:eastAsia="宋体" w:hAnsi="Arial" w:cs="Arial"/>
          <w:color w:val="333333"/>
          <w:kern w:val="0"/>
          <w:sz w:val="24"/>
          <w:szCs w:val="24"/>
        </w:rPr>
        <w:t>作出</w:t>
      </w:r>
      <w:proofErr w:type="gramEnd"/>
      <w:r w:rsidRPr="007745FF">
        <w:rPr>
          <w:rFonts w:ascii="Arial" w:eastAsia="宋体" w:hAnsi="Arial" w:cs="Arial"/>
          <w:color w:val="333333"/>
          <w:kern w:val="0"/>
          <w:sz w:val="24"/>
          <w:szCs w:val="24"/>
        </w:rPr>
        <w:t>相对肯定的诊断。</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w:t>
      </w:r>
      <w:proofErr w:type="gramStart"/>
      <w:r w:rsidRPr="007745FF">
        <w:rPr>
          <w:rFonts w:ascii="Arial" w:eastAsia="宋体" w:hAnsi="Arial" w:cs="Arial"/>
          <w:color w:val="333333"/>
          <w:kern w:val="0"/>
          <w:sz w:val="24"/>
          <w:szCs w:val="24"/>
        </w:rPr>
        <w:t>临床试验瘤种的</w:t>
      </w:r>
      <w:proofErr w:type="gramEnd"/>
      <w:r w:rsidRPr="007745FF">
        <w:rPr>
          <w:rFonts w:ascii="Arial" w:eastAsia="宋体" w:hAnsi="Arial" w:cs="Arial"/>
          <w:color w:val="333333"/>
          <w:kern w:val="0"/>
          <w:sz w:val="24"/>
          <w:szCs w:val="24"/>
        </w:rPr>
        <w:t>选择有一定针对性，主要根据</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期临床试验的初步有效性结果和其他同类药物的抗肿瘤谱确定，同时还应考虑非临床体外肿瘤细胞敏感性研究结果，包括人肿瘤</w:t>
      </w:r>
      <w:hyperlink r:id="rId74" w:tgtFrame="_blank" w:history="1">
        <w:r w:rsidRPr="007745FF">
          <w:rPr>
            <w:rFonts w:ascii="Arial" w:eastAsia="宋体" w:hAnsi="Arial" w:cs="Arial"/>
            <w:color w:val="136EC2"/>
            <w:kern w:val="0"/>
            <w:sz w:val="24"/>
            <w:szCs w:val="24"/>
            <w:u w:val="single"/>
          </w:rPr>
          <w:t>细胞株</w:t>
        </w:r>
      </w:hyperlink>
      <w:r w:rsidRPr="007745FF">
        <w:rPr>
          <w:rFonts w:ascii="Arial" w:eastAsia="宋体" w:hAnsi="Arial" w:cs="Arial"/>
          <w:color w:val="333333"/>
          <w:kern w:val="0"/>
          <w:sz w:val="24"/>
          <w:szCs w:val="24"/>
        </w:rPr>
        <w:t>敏感性试验和原代肿瘤细胞敏感性试验。一般而言，</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期临床试验尽可能多选择</w:t>
      </w:r>
      <w:proofErr w:type="gramStart"/>
      <w:r w:rsidRPr="007745FF">
        <w:rPr>
          <w:rFonts w:ascii="Arial" w:eastAsia="宋体" w:hAnsi="Arial" w:cs="Arial"/>
          <w:color w:val="333333"/>
          <w:kern w:val="0"/>
          <w:sz w:val="24"/>
          <w:szCs w:val="24"/>
        </w:rPr>
        <w:t>瘤种分别</w:t>
      </w:r>
      <w:proofErr w:type="gramEnd"/>
      <w:r w:rsidRPr="007745FF">
        <w:rPr>
          <w:rFonts w:ascii="Arial" w:eastAsia="宋体" w:hAnsi="Arial" w:cs="Arial"/>
          <w:color w:val="333333"/>
          <w:kern w:val="0"/>
          <w:sz w:val="24"/>
          <w:szCs w:val="24"/>
        </w:rPr>
        <w:t>进行考察，而不是仅选择一两个瘤种。这样可以帮助选择最具开发价值的适应症进行</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期临床研究，减少研发风险。</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应该按照预先制定好的计划入组患者，用尽可能少的受试者达到研究目的。</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给药方案</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期临床试验应在</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期临床试验的基础上进一步探索和优化给药方案，可考虑同时采用两个或多个剂量组，对给药方案进行细化和调整，包括给药剂量、给药间隔、速度、疗程、合理的剂量调整以及联合放化疗方案等。应根据</w:t>
      </w:r>
      <w:hyperlink r:id="rId75" w:tgtFrame="_blank" w:history="1">
        <w:r w:rsidRPr="007745FF">
          <w:rPr>
            <w:rFonts w:ascii="Arial" w:eastAsia="宋体" w:hAnsi="Arial" w:cs="Arial"/>
            <w:color w:val="136EC2"/>
            <w:kern w:val="0"/>
            <w:sz w:val="24"/>
            <w:szCs w:val="24"/>
            <w:u w:val="single"/>
          </w:rPr>
          <w:t>临床药理学</w:t>
        </w:r>
      </w:hyperlink>
      <w:r w:rsidRPr="007745FF">
        <w:rPr>
          <w:rFonts w:ascii="Arial" w:eastAsia="宋体" w:hAnsi="Arial" w:cs="Arial"/>
          <w:color w:val="333333"/>
          <w:kern w:val="0"/>
          <w:sz w:val="24"/>
          <w:szCs w:val="24"/>
        </w:rPr>
        <w:t>资料充分考虑可能影响疗效和安全性的所有因素，不能同时给予可能影响药物疗效的其他治疗，也尽量避免给予可能与试验药物存在相互作用的其他药物。</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Ⅱ</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中给药方案研究充分与否将影响到</w:t>
      </w:r>
      <w:r w:rsidRPr="007745FF">
        <w:rPr>
          <w:rFonts w:ascii="宋体" w:eastAsia="宋体" w:hAnsi="宋体" w:cs="宋体" w:hint="eastAsia"/>
          <w:color w:val="333333"/>
          <w:kern w:val="0"/>
          <w:sz w:val="24"/>
          <w:szCs w:val="24"/>
        </w:rPr>
        <w:t>Ⅲ</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给药方案的选择，否则</w:t>
      </w:r>
      <w:r w:rsidRPr="007745FF">
        <w:rPr>
          <w:rFonts w:ascii="宋体" w:eastAsia="宋体" w:hAnsi="宋体" w:cs="宋体" w:hint="eastAsia"/>
          <w:color w:val="333333"/>
          <w:kern w:val="0"/>
          <w:sz w:val="24"/>
          <w:szCs w:val="24"/>
        </w:rPr>
        <w:t>Ⅲ</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的方案可能不是最佳的给药方案，增加</w:t>
      </w:r>
      <w:r w:rsidRPr="007745FF">
        <w:rPr>
          <w:rFonts w:ascii="宋体" w:eastAsia="宋体" w:hAnsi="宋体" w:cs="宋体" w:hint="eastAsia"/>
          <w:color w:val="333333"/>
          <w:kern w:val="0"/>
          <w:sz w:val="24"/>
          <w:szCs w:val="24"/>
        </w:rPr>
        <w:t>Ⅲ</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失败的风险。</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疗效观察和评价客观缓解率（</w:t>
      </w:r>
      <w:r w:rsidRPr="007745FF">
        <w:rPr>
          <w:rFonts w:ascii="Arial" w:eastAsia="宋体" w:hAnsi="Arial" w:cs="Arial"/>
          <w:color w:val="333333"/>
          <w:kern w:val="0"/>
          <w:sz w:val="24"/>
          <w:szCs w:val="24"/>
        </w:rPr>
        <w:t xml:space="preserve">Objective Response Rate </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ORR</w:t>
      </w:r>
      <w:r w:rsidRPr="007745FF">
        <w:rPr>
          <w:rFonts w:ascii="Arial" w:eastAsia="宋体" w:hAnsi="Arial" w:cs="Arial"/>
          <w:color w:val="333333"/>
          <w:kern w:val="0"/>
          <w:sz w:val="24"/>
          <w:szCs w:val="24"/>
        </w:rPr>
        <w:t>）指肿瘤缩小达到一定量并且</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"https://baike.baidu.com/item/%E4%BF%9D%E6%8C%81"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保持</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一定时间的病人的比例，是反映药物具有抗肿瘤活性的初步可靠证据，是</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期临床试验通常采用的疗效观察指标。应遵照当时国际上通用的</w:t>
      </w:r>
      <w:r w:rsidRPr="007745FF">
        <w:rPr>
          <w:rFonts w:ascii="Arial" w:eastAsia="宋体" w:hAnsi="Arial" w:cs="Arial"/>
          <w:color w:val="333333"/>
          <w:kern w:val="0"/>
          <w:sz w:val="24"/>
          <w:szCs w:val="24"/>
        </w:rPr>
        <w:t>RECIST</w:t>
      </w:r>
      <w:r w:rsidRPr="007745FF">
        <w:rPr>
          <w:rFonts w:ascii="Arial" w:eastAsia="宋体" w:hAnsi="Arial" w:cs="Arial"/>
          <w:color w:val="333333"/>
          <w:kern w:val="0"/>
          <w:sz w:val="24"/>
          <w:szCs w:val="24"/>
        </w:rPr>
        <w:t>标准来评估客观缓解率。</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虽然</w:t>
      </w:r>
      <w:r w:rsidRPr="007745FF">
        <w:rPr>
          <w:rFonts w:ascii="Arial" w:eastAsia="宋体" w:hAnsi="Arial" w:cs="Arial"/>
          <w:color w:val="333333"/>
          <w:kern w:val="0"/>
          <w:sz w:val="24"/>
          <w:szCs w:val="24"/>
        </w:rPr>
        <w:t>ORR</w:t>
      </w:r>
      <w:r w:rsidRPr="007745FF">
        <w:rPr>
          <w:rFonts w:ascii="Arial" w:eastAsia="宋体" w:hAnsi="Arial" w:cs="Arial"/>
          <w:color w:val="333333"/>
          <w:kern w:val="0"/>
          <w:sz w:val="24"/>
          <w:szCs w:val="24"/>
        </w:rPr>
        <w:t>是反映药物活性的良好指标，但不一定能代表生存方面的获益。为了在临床试验的早期阶段提供更为全面充分的证据来证明药物的作用，减少后续临床试验的风险，推荐</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期临床试验在观察</w:t>
      </w:r>
      <w:r w:rsidRPr="007745FF">
        <w:rPr>
          <w:rFonts w:ascii="Arial" w:eastAsia="宋体" w:hAnsi="Arial" w:cs="Arial"/>
          <w:color w:val="333333"/>
          <w:kern w:val="0"/>
          <w:sz w:val="24"/>
          <w:szCs w:val="24"/>
        </w:rPr>
        <w:t>ORR</w:t>
      </w:r>
      <w:r w:rsidRPr="007745FF">
        <w:rPr>
          <w:rFonts w:ascii="Arial" w:eastAsia="宋体" w:hAnsi="Arial" w:cs="Arial"/>
          <w:color w:val="333333"/>
          <w:kern w:val="0"/>
          <w:sz w:val="24"/>
          <w:szCs w:val="24"/>
        </w:rPr>
        <w:t>的同时观察其他能反映受试</w:t>
      </w:r>
      <w:r w:rsidRPr="007745FF">
        <w:rPr>
          <w:rFonts w:ascii="Arial" w:eastAsia="宋体" w:hAnsi="Arial" w:cs="Arial"/>
          <w:color w:val="333333"/>
          <w:kern w:val="0"/>
          <w:sz w:val="24"/>
          <w:szCs w:val="24"/>
        </w:rPr>
        <w:lastRenderedPageBreak/>
        <w:t>者临床获益的指标。在《抗肿瘤药物临床试验终点技术指导原则》中详细介绍了这些评价指标。</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6.</w:t>
      </w:r>
      <w:r w:rsidRPr="007745FF">
        <w:rPr>
          <w:rFonts w:ascii="Arial" w:eastAsia="宋体" w:hAnsi="Arial" w:cs="Arial"/>
          <w:color w:val="333333"/>
          <w:kern w:val="0"/>
          <w:sz w:val="24"/>
          <w:szCs w:val="24"/>
        </w:rPr>
        <w:t>安全性观察和评价安全性观察内容除了一般常规项目之外，应重点关注</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期临床试验和非临床试验观察到的毒性以及少见毒性。此外，还应参考同类药物的特点进行必要和特殊的考察。应关注毒性与剂量的关系及停药后毒性的缓解情况。应注意考察在可耐受或可恢复毒性的剂量条件</w:t>
      </w:r>
      <w:hyperlink r:id="rId76" w:tgtFrame="_blank" w:history="1">
        <w:r w:rsidRPr="007745FF">
          <w:rPr>
            <w:rFonts w:ascii="Arial" w:eastAsia="宋体" w:hAnsi="Arial" w:cs="Arial"/>
            <w:color w:val="136EC2"/>
            <w:kern w:val="0"/>
            <w:sz w:val="24"/>
            <w:szCs w:val="24"/>
            <w:u w:val="single"/>
          </w:rPr>
          <w:t>下取</w:t>
        </w:r>
      </w:hyperlink>
      <w:r w:rsidRPr="007745FF">
        <w:rPr>
          <w:rFonts w:ascii="Arial" w:eastAsia="宋体" w:hAnsi="Arial" w:cs="Arial"/>
          <w:color w:val="333333"/>
          <w:kern w:val="0"/>
          <w:sz w:val="24"/>
          <w:szCs w:val="24"/>
        </w:rPr>
        <w:t>得疗效的可能性。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7.</w:t>
      </w:r>
      <w:r w:rsidRPr="007745FF">
        <w:rPr>
          <w:rFonts w:ascii="Arial" w:eastAsia="宋体" w:hAnsi="Arial" w:cs="Arial"/>
          <w:color w:val="333333"/>
          <w:kern w:val="0"/>
          <w:sz w:val="24"/>
          <w:szCs w:val="24"/>
        </w:rPr>
        <w:t>试验的结束或中止</w:t>
      </w:r>
      <w:proofErr w:type="gramStart"/>
      <w:r w:rsidRPr="007745FF">
        <w:rPr>
          <w:rFonts w:ascii="Arial" w:eastAsia="宋体" w:hAnsi="Arial" w:cs="Arial"/>
          <w:color w:val="333333"/>
          <w:kern w:val="0"/>
          <w:sz w:val="24"/>
          <w:szCs w:val="24"/>
        </w:rPr>
        <w:t>若探索</w:t>
      </w:r>
      <w:proofErr w:type="gramEnd"/>
      <w:r w:rsidRPr="007745FF">
        <w:rPr>
          <w:rFonts w:ascii="Arial" w:eastAsia="宋体" w:hAnsi="Arial" w:cs="Arial"/>
          <w:color w:val="333333"/>
          <w:kern w:val="0"/>
          <w:sz w:val="24"/>
          <w:szCs w:val="24"/>
        </w:rPr>
        <w:t>出</w:t>
      </w:r>
      <w:proofErr w:type="gramStart"/>
      <w:r w:rsidRPr="007745FF">
        <w:rPr>
          <w:rFonts w:ascii="Arial" w:eastAsia="宋体" w:hAnsi="Arial" w:cs="Arial"/>
          <w:color w:val="333333"/>
          <w:kern w:val="0"/>
          <w:sz w:val="24"/>
          <w:szCs w:val="24"/>
        </w:rPr>
        <w:t>敏感瘤种及</w:t>
      </w:r>
      <w:proofErr w:type="gramEnd"/>
      <w:r w:rsidRPr="007745FF">
        <w:rPr>
          <w:rFonts w:ascii="Arial" w:eastAsia="宋体" w:hAnsi="Arial" w:cs="Arial"/>
          <w:color w:val="333333"/>
          <w:kern w:val="0"/>
          <w:sz w:val="24"/>
          <w:szCs w:val="24"/>
        </w:rPr>
        <w:t>合理的给药方案，即可考虑选择</w:t>
      </w:r>
      <w:proofErr w:type="gramStart"/>
      <w:r w:rsidRPr="007745FF">
        <w:rPr>
          <w:rFonts w:ascii="Arial" w:eastAsia="宋体" w:hAnsi="Arial" w:cs="Arial"/>
          <w:color w:val="333333"/>
          <w:kern w:val="0"/>
          <w:sz w:val="24"/>
          <w:szCs w:val="24"/>
        </w:rPr>
        <w:t>敏感瘤种进行</w:t>
      </w:r>
      <w:proofErr w:type="gramEnd"/>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期确证性试验。研究方案中应事先规定试验中止标准。如果药物在</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期临床试验中对</w:t>
      </w:r>
      <w:proofErr w:type="gramStart"/>
      <w:r w:rsidRPr="007745FF">
        <w:rPr>
          <w:rFonts w:ascii="Arial" w:eastAsia="宋体" w:hAnsi="Arial" w:cs="Arial"/>
          <w:color w:val="333333"/>
          <w:kern w:val="0"/>
          <w:sz w:val="24"/>
          <w:szCs w:val="24"/>
        </w:rPr>
        <w:t>某瘤种没有</w:t>
      </w:r>
      <w:proofErr w:type="gramEnd"/>
      <w:r w:rsidRPr="007745FF">
        <w:rPr>
          <w:rFonts w:ascii="Arial" w:eastAsia="宋体" w:hAnsi="Arial" w:cs="Arial"/>
          <w:color w:val="333333"/>
          <w:kern w:val="0"/>
          <w:sz w:val="24"/>
          <w:szCs w:val="24"/>
        </w:rPr>
        <w:t>达到期望的效果（如抗肿瘤活性太低以及毒性太高），则可以认为该药物对</w:t>
      </w:r>
      <w:proofErr w:type="gramStart"/>
      <w:r w:rsidRPr="007745FF">
        <w:rPr>
          <w:rFonts w:ascii="Arial" w:eastAsia="宋体" w:hAnsi="Arial" w:cs="Arial"/>
          <w:color w:val="333333"/>
          <w:kern w:val="0"/>
          <w:sz w:val="24"/>
          <w:szCs w:val="24"/>
        </w:rPr>
        <w:t>该瘤种无</w:t>
      </w:r>
      <w:proofErr w:type="gramEnd"/>
      <w:r w:rsidRPr="007745FF">
        <w:rPr>
          <w:rFonts w:ascii="Arial" w:eastAsia="宋体" w:hAnsi="Arial" w:cs="Arial"/>
          <w:color w:val="333333"/>
          <w:kern w:val="0"/>
          <w:sz w:val="24"/>
          <w:szCs w:val="24"/>
        </w:rPr>
        <w:t>抗肿瘤价值，终止试验；如果较预期的疗效好，也可以提前开始</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若遇到以下情况时，应考虑患者提前中止或退出试验：</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）有证据表明疾病进展；</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）出现不可耐受的毒性或出现蓄积性毒性导致患者无法继续用药；</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）患者要求退出；</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）研究者判断不宜继续进行临床试验。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8.</w:t>
      </w:r>
      <w:r w:rsidRPr="007745FF">
        <w:rPr>
          <w:rFonts w:ascii="宋体" w:eastAsia="宋体" w:hAnsi="宋体" w:cs="宋体" w:hint="eastAsia"/>
          <w:color w:val="333333"/>
          <w:kern w:val="0"/>
          <w:sz w:val="24"/>
          <w:szCs w:val="24"/>
        </w:rPr>
        <w:t>Ⅱ</w:t>
      </w:r>
      <w:proofErr w:type="gramStart"/>
      <w:r w:rsidRPr="007745FF">
        <w:rPr>
          <w:rFonts w:ascii="Arial" w:eastAsia="宋体" w:hAnsi="Arial" w:cs="Arial"/>
          <w:color w:val="333333"/>
          <w:kern w:val="0"/>
          <w:sz w:val="24"/>
          <w:szCs w:val="24"/>
        </w:rPr>
        <w:t>期试验</w:t>
      </w:r>
      <w:proofErr w:type="gramEnd"/>
      <w:r w:rsidRPr="007745FF">
        <w:rPr>
          <w:rFonts w:ascii="Arial" w:eastAsia="宋体" w:hAnsi="Arial" w:cs="Arial"/>
          <w:color w:val="333333"/>
          <w:kern w:val="0"/>
          <w:sz w:val="24"/>
          <w:szCs w:val="24"/>
        </w:rPr>
        <w:t>结果的总结试验结果评价应包括以下内容：</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所考察的</w:t>
      </w:r>
      <w:proofErr w:type="gramStart"/>
      <w:r w:rsidRPr="007745FF">
        <w:rPr>
          <w:rFonts w:ascii="Arial" w:eastAsia="宋体" w:hAnsi="Arial" w:cs="Arial"/>
          <w:color w:val="333333"/>
          <w:kern w:val="0"/>
          <w:sz w:val="24"/>
          <w:szCs w:val="24"/>
        </w:rPr>
        <w:t>每个瘤种的</w:t>
      </w:r>
      <w:proofErr w:type="gramEnd"/>
      <w:r w:rsidRPr="007745FF">
        <w:rPr>
          <w:rFonts w:ascii="Arial" w:eastAsia="宋体" w:hAnsi="Arial" w:cs="Arial"/>
          <w:color w:val="333333"/>
          <w:kern w:val="0"/>
          <w:sz w:val="24"/>
          <w:szCs w:val="24"/>
        </w:rPr>
        <w:t>客观缓解率。根据客观缓解率判断药物是否具有抗肿瘤活性，决定药物是否值得进一步研究或应淘汰。根据每个肿瘤的客观缓解率，选出对药物最敏感和</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或中等敏感的瘤种，作为推荐</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期临床试验的适应症。</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如同时观察了生存期、生活质量和临床症状等方面的疗效评价指标，也应尽可能一并进行总结。但</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期临床试验的主要目的是初步考察药物的生物活性，因此并非必须获得生存方面的数据才可进入</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建议根据药物特点综合考虑。生存方面的观察可与</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期临床试验同时进行。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优选出最合理的给药方案，包括给药剂量、给药间隔和疗程，以及联合放化疗的方法等，作为推荐</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期临床试验的给药方案。</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总结药物的毒性反应类型、发生率、严重程度、发生时间及持续时间、是否可逆、与剂量和疗程的关系、临床后果以及处理方法等，提出根据毒性反应进行剂量调整的原则，作为</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期临床试验中需关注的重点。</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b/>
          <w:bCs/>
          <w:color w:val="333333"/>
          <w:kern w:val="0"/>
          <w:sz w:val="24"/>
          <w:szCs w:val="24"/>
        </w:rPr>
        <w:t>（三）</w:t>
      </w:r>
      <w:r w:rsidRPr="007745FF">
        <w:rPr>
          <w:rFonts w:ascii="宋体" w:eastAsia="宋体" w:hAnsi="宋体" w:cs="宋体" w:hint="eastAsia"/>
          <w:b/>
          <w:bCs/>
          <w:color w:val="333333"/>
          <w:kern w:val="0"/>
          <w:sz w:val="24"/>
          <w:szCs w:val="24"/>
        </w:rPr>
        <w:t>Ⅲ</w:t>
      </w:r>
      <w:r w:rsidRPr="007745FF">
        <w:rPr>
          <w:rFonts w:ascii="Arial" w:eastAsia="宋体" w:hAnsi="Arial" w:cs="Arial"/>
          <w:b/>
          <w:bCs/>
          <w:color w:val="333333"/>
          <w:kern w:val="0"/>
          <w:sz w:val="24"/>
          <w:szCs w:val="24"/>
        </w:rPr>
        <w:t>期临床试验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期临床试验为确证性研究，通过大样本、随机、对照研究设计，确证药物在特定的目标人群中的疗效和安全性，评价肿瘤受试者的临床获益情况。</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期临床试验投入巨大，周期长，因此在决策药物是否进入</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期时应慎重考虑以下因素：</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）有特异且明确的靶位，在非临床试验和</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期临床试验中已得到充分支持；</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）有明显的抗肿瘤活性，非临床试验和</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期临床试验中已得到充分支持；</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）良好的</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"https://baike.baidu.com/item/%E8%8D%AF%E7%89%A9%E4%BB%A3%E8%B0%A2%E5%8A%A8%E5%8A%9B%E5%AD%A6"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药物代谢动力学</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特点，如口服生物利用度良好，</w:t>
      </w:r>
      <w:hyperlink r:id="rId77" w:tgtFrame="_blank" w:history="1">
        <w:r w:rsidRPr="007745FF">
          <w:rPr>
            <w:rFonts w:ascii="Arial" w:eastAsia="宋体" w:hAnsi="Arial" w:cs="Arial"/>
            <w:color w:val="136EC2"/>
            <w:kern w:val="0"/>
            <w:sz w:val="24"/>
            <w:szCs w:val="24"/>
            <w:u w:val="single"/>
          </w:rPr>
          <w:t>半衰期</w:t>
        </w:r>
      </w:hyperlink>
      <w:r w:rsidRPr="007745FF">
        <w:rPr>
          <w:rFonts w:ascii="Arial" w:eastAsia="宋体" w:hAnsi="Arial" w:cs="Arial"/>
          <w:color w:val="333333"/>
          <w:kern w:val="0"/>
          <w:sz w:val="24"/>
          <w:szCs w:val="24"/>
        </w:rPr>
        <w:t>长；</w:t>
      </w:r>
      <w:r w:rsidRPr="007745FF">
        <w:rPr>
          <w:rFonts w:ascii="Arial" w:eastAsia="宋体" w:hAnsi="Arial" w:cs="Arial"/>
          <w:color w:val="333333"/>
          <w:kern w:val="0"/>
          <w:sz w:val="24"/>
          <w:szCs w:val="24"/>
        </w:rPr>
        <w:t xml:space="preserve"> 4</w:t>
      </w:r>
      <w:r w:rsidRPr="007745FF">
        <w:rPr>
          <w:rFonts w:ascii="Arial" w:eastAsia="宋体" w:hAnsi="Arial" w:cs="Arial"/>
          <w:color w:val="333333"/>
          <w:kern w:val="0"/>
          <w:sz w:val="24"/>
          <w:szCs w:val="24"/>
        </w:rPr>
        <w:t>）目标疾病对新的治疗方法有较强的需求；</w:t>
      </w: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）不良反应可以耐受和处理。</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1.</w:t>
      </w:r>
      <w:r w:rsidRPr="007745FF">
        <w:rPr>
          <w:rFonts w:ascii="Arial" w:eastAsia="宋体" w:hAnsi="Arial" w:cs="Arial"/>
          <w:color w:val="333333"/>
          <w:kern w:val="0"/>
          <w:sz w:val="24"/>
          <w:szCs w:val="24"/>
        </w:rPr>
        <w:t>研究目的确定在明确的目标人群中的临床获益情况，充分评价药物的毒性反应，应特别注意早期临床试验不易发现的少见不良事件。对试验药物进行风险效益评估。</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试验设计</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期临床试验必须采用随机设计。随机化最主要的优点为可减少研究者在对受试者分组时产生的选择偏倚。由于抗肿瘤药物</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期临床试验通常选择生存期作为终点指标，而年龄、疾病状态和既往治疗等对疾病预后可能会产生重要影响，因此，应特别注意以上影响因素的组间均衡性。事先对预后因素进行分层随机将有助于结果的评价。</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由于多数抗肿瘤药物具有明显的毒性特点，且需要采用不同的给药方案和</w:t>
      </w:r>
      <w:r w:rsidR="00721E66">
        <w:fldChar w:fldCharType="begin"/>
      </w:r>
      <w:r w:rsidR="00721E66">
        <w:instrText>HYPERLINK "https://baike.baidu.com/item/%E7%BB%99%E8%8D%AF%E9%80%94%E5%BE%84" \t "_blank"</w:instrText>
      </w:r>
      <w:r w:rsidR="00721E66">
        <w:fldChar w:fldCharType="separate"/>
      </w:r>
      <w:r w:rsidRPr="007745FF">
        <w:rPr>
          <w:rFonts w:ascii="Arial" w:eastAsia="宋体" w:hAnsi="Arial" w:cs="Arial"/>
          <w:color w:val="136EC2"/>
          <w:kern w:val="0"/>
          <w:sz w:val="24"/>
          <w:szCs w:val="24"/>
          <w:u w:val="single"/>
        </w:rPr>
        <w:t>给药途径</w:t>
      </w:r>
      <w:r w:rsidR="00721E66">
        <w:fldChar w:fldCharType="end"/>
      </w:r>
      <w:r w:rsidRPr="007745FF">
        <w:rPr>
          <w:rFonts w:ascii="Arial" w:eastAsia="宋体" w:hAnsi="Arial" w:cs="Arial"/>
          <w:color w:val="333333"/>
          <w:kern w:val="0"/>
          <w:sz w:val="24"/>
          <w:szCs w:val="24"/>
        </w:rPr>
        <w:t>（口服、</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"https://baike.baidu.com/item/%E9%9D%99%E8%84%89"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静脉</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推注或连续静脉滴注），因此大多数抗肿瘤药物</w:t>
      </w:r>
      <w:proofErr w:type="gramStart"/>
      <w:r w:rsidRPr="007745FF">
        <w:rPr>
          <w:rFonts w:ascii="Arial" w:eastAsia="宋体" w:hAnsi="Arial" w:cs="Arial"/>
          <w:color w:val="333333"/>
          <w:kern w:val="0"/>
          <w:sz w:val="24"/>
          <w:szCs w:val="24"/>
        </w:rPr>
        <w:t>的盲法难以</w:t>
      </w:r>
      <w:proofErr w:type="gramEnd"/>
      <w:r w:rsidRPr="007745FF">
        <w:rPr>
          <w:rFonts w:ascii="Arial" w:eastAsia="宋体" w:hAnsi="Arial" w:cs="Arial"/>
          <w:color w:val="333333"/>
          <w:kern w:val="0"/>
          <w:sz w:val="24"/>
          <w:szCs w:val="24"/>
        </w:rPr>
        <w:t>实施，尤其是细胞毒药物。在非细胞毒抗肿瘤药物临床试验中，由于其毒性较小，可考虑实施盲法。如选择开放设计，在研究终点的选择、敏感性分析和其他为了减少开放设计导致的偏倚所采取的措施方面都应有所考虑和说明。</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在抗肿瘤药物临床试验中对照组受试者不给予抗肿瘤药物治疗通常认为是不合伦理的。在已有常规标准有效治疗方法时，应选择临床上标准治疗方案为对照。此时可</w:t>
      </w:r>
      <w:proofErr w:type="gramStart"/>
      <w:r w:rsidRPr="007745FF">
        <w:rPr>
          <w:rFonts w:ascii="Arial" w:eastAsia="宋体" w:hAnsi="Arial" w:cs="Arial"/>
          <w:color w:val="333333"/>
          <w:kern w:val="0"/>
          <w:sz w:val="24"/>
          <w:szCs w:val="24"/>
        </w:rPr>
        <w:t>采用优效性</w:t>
      </w:r>
      <w:proofErr w:type="gramEnd"/>
      <w:r w:rsidRPr="007745FF">
        <w:rPr>
          <w:rFonts w:ascii="Arial" w:eastAsia="宋体" w:hAnsi="Arial" w:cs="Arial"/>
          <w:color w:val="333333"/>
          <w:kern w:val="0"/>
          <w:sz w:val="24"/>
          <w:szCs w:val="24"/>
        </w:rPr>
        <w:t>设计或者</w:t>
      </w:r>
      <w:proofErr w:type="gramStart"/>
      <w:r w:rsidRPr="007745FF">
        <w:rPr>
          <w:rFonts w:ascii="Arial" w:eastAsia="宋体" w:hAnsi="Arial" w:cs="Arial"/>
          <w:color w:val="333333"/>
          <w:kern w:val="0"/>
          <w:sz w:val="24"/>
          <w:szCs w:val="24"/>
        </w:rPr>
        <w:t>非劣效性</w:t>
      </w:r>
      <w:proofErr w:type="gramEnd"/>
      <w:r w:rsidRPr="007745FF">
        <w:rPr>
          <w:rFonts w:ascii="Arial" w:eastAsia="宋体" w:hAnsi="Arial" w:cs="Arial"/>
          <w:color w:val="333333"/>
          <w:kern w:val="0"/>
          <w:sz w:val="24"/>
          <w:szCs w:val="24"/>
        </w:rPr>
        <w:t>设计。在缺乏有效治疗方案的情况下，采用</w:t>
      </w:r>
      <w:proofErr w:type="gramStart"/>
      <w:r w:rsidRPr="007745FF">
        <w:rPr>
          <w:rFonts w:ascii="Arial" w:eastAsia="宋体" w:hAnsi="Arial" w:cs="Arial"/>
          <w:color w:val="333333"/>
          <w:kern w:val="0"/>
          <w:sz w:val="24"/>
          <w:szCs w:val="24"/>
        </w:rPr>
        <w:t>最佳支持</w:t>
      </w:r>
      <w:proofErr w:type="gramEnd"/>
      <w:r w:rsidRPr="007745FF">
        <w:rPr>
          <w:rFonts w:ascii="Arial" w:eastAsia="宋体" w:hAnsi="Arial" w:cs="Arial"/>
          <w:color w:val="333333"/>
          <w:kern w:val="0"/>
          <w:sz w:val="24"/>
          <w:szCs w:val="24"/>
        </w:rPr>
        <w:t>治疗或</w:t>
      </w:r>
      <w:hyperlink r:id="rId78" w:tgtFrame="_blank" w:history="1">
        <w:r w:rsidRPr="007745FF">
          <w:rPr>
            <w:rFonts w:ascii="Arial" w:eastAsia="宋体" w:hAnsi="Arial" w:cs="Arial"/>
            <w:color w:val="136EC2"/>
            <w:kern w:val="0"/>
            <w:sz w:val="24"/>
            <w:szCs w:val="24"/>
            <w:u w:val="single"/>
          </w:rPr>
          <w:t>安慰剂</w:t>
        </w:r>
      </w:hyperlink>
      <w:r w:rsidRPr="007745FF">
        <w:rPr>
          <w:rFonts w:ascii="Arial" w:eastAsia="宋体" w:hAnsi="Arial" w:cs="Arial"/>
          <w:color w:val="333333"/>
          <w:kern w:val="0"/>
          <w:sz w:val="24"/>
          <w:szCs w:val="24"/>
        </w:rPr>
        <w:t>作为对照是可接受的。此时必须</w:t>
      </w:r>
      <w:proofErr w:type="gramStart"/>
      <w:r w:rsidRPr="007745FF">
        <w:rPr>
          <w:rFonts w:ascii="Arial" w:eastAsia="宋体" w:hAnsi="Arial" w:cs="Arial"/>
          <w:color w:val="333333"/>
          <w:kern w:val="0"/>
          <w:sz w:val="24"/>
          <w:szCs w:val="24"/>
        </w:rPr>
        <w:t>采用优效性</w:t>
      </w:r>
      <w:proofErr w:type="gramEnd"/>
      <w:r w:rsidRPr="007745FF">
        <w:rPr>
          <w:rFonts w:ascii="Arial" w:eastAsia="宋体" w:hAnsi="Arial" w:cs="Arial"/>
          <w:color w:val="333333"/>
          <w:kern w:val="0"/>
          <w:sz w:val="24"/>
          <w:szCs w:val="24"/>
        </w:rPr>
        <w:t>设计。</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平行设计是采用较多的方法。因为药物对生存期的影响可能会因为交叉用药而难以判断，因此大多数情况下抗肿瘤药物不宜采用交叉设计。同时对两个或多个药物联合使用进行评价时，应采用析因设计。但如果治疗方式之间对疗效可能存在负的交互作用（</w:t>
      </w:r>
      <w:hyperlink r:id="rId79" w:tgtFrame="_blank" w:history="1">
        <w:r w:rsidRPr="007745FF">
          <w:rPr>
            <w:rFonts w:ascii="Arial" w:eastAsia="宋体" w:hAnsi="Arial" w:cs="Arial"/>
            <w:color w:val="136EC2"/>
            <w:kern w:val="0"/>
            <w:sz w:val="24"/>
            <w:szCs w:val="24"/>
            <w:u w:val="single"/>
          </w:rPr>
          <w:t>拮抗作用</w:t>
        </w:r>
      </w:hyperlink>
      <w:r w:rsidRPr="007745FF">
        <w:rPr>
          <w:rFonts w:ascii="Arial" w:eastAsia="宋体" w:hAnsi="Arial" w:cs="Arial"/>
          <w:color w:val="333333"/>
          <w:kern w:val="0"/>
          <w:sz w:val="24"/>
          <w:szCs w:val="24"/>
        </w:rPr>
        <w:t>）或对不良反应有正的交互作用（重叠毒性）时，需慎重设计。</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对于临床上确实无法实施阳性对照或安慰剂对照，可选择剂量对照或历史数据作为对照。选择历史数据作为对照应谨慎，需要严格按照</w:t>
      </w:r>
      <w:r w:rsidR="00721E66">
        <w:fldChar w:fldCharType="begin"/>
      </w:r>
      <w:r w:rsidR="00721E66">
        <w:instrText>HYPERLINK "https://baike.baidu.com/item/%E7%B3%BB%E7%BB%9F" \t "_blank"</w:instrText>
      </w:r>
      <w:r w:rsidR="00721E66">
        <w:fldChar w:fldCharType="separate"/>
      </w:r>
      <w:r w:rsidRPr="007745FF">
        <w:rPr>
          <w:rFonts w:ascii="Arial" w:eastAsia="宋体" w:hAnsi="Arial" w:cs="Arial"/>
          <w:color w:val="136EC2"/>
          <w:kern w:val="0"/>
          <w:sz w:val="24"/>
          <w:szCs w:val="24"/>
          <w:u w:val="single"/>
        </w:rPr>
        <w:t>系统</w:t>
      </w:r>
      <w:r w:rsidR="00721E66">
        <w:fldChar w:fldCharType="end"/>
      </w:r>
      <w:r w:rsidRPr="007745FF">
        <w:rPr>
          <w:rFonts w:ascii="Arial" w:eastAsia="宋体" w:hAnsi="Arial" w:cs="Arial"/>
          <w:color w:val="333333"/>
          <w:kern w:val="0"/>
          <w:sz w:val="24"/>
          <w:szCs w:val="24"/>
        </w:rPr>
        <w:t>评价（</w:t>
      </w:r>
      <w:proofErr w:type="spellStart"/>
      <w:r w:rsidRPr="007745FF">
        <w:rPr>
          <w:rFonts w:ascii="Arial" w:eastAsia="宋体" w:hAnsi="Arial" w:cs="Arial"/>
          <w:color w:val="333333"/>
          <w:kern w:val="0"/>
          <w:sz w:val="24"/>
          <w:szCs w:val="24"/>
        </w:rPr>
        <w:t>systematicreview</w:t>
      </w:r>
      <w:proofErr w:type="spellEnd"/>
      <w:r w:rsidRPr="007745FF">
        <w:rPr>
          <w:rFonts w:ascii="Arial" w:eastAsia="宋体" w:hAnsi="Arial" w:cs="Arial"/>
          <w:color w:val="333333"/>
          <w:kern w:val="0"/>
          <w:sz w:val="24"/>
          <w:szCs w:val="24"/>
        </w:rPr>
        <w:t>）的有关原则对文献资料进行合理分析和评价。但需注意，由于诊断技术、影像技术、支持护理以及对疾病的认识不断提高，历史资料中纳入的病例与当前试验组的病例可能存在较大的差异，导致结果存在明显偏倚。需要特别说明信息选择偏倚的控制。</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联合用药研究可采用已知有效药物联合与不联合新药进行对比；也可以在某一有效联合化疗方案中，以新药取代</w:t>
      </w:r>
      <w:proofErr w:type="gramStart"/>
      <w:r w:rsidRPr="007745FF">
        <w:rPr>
          <w:rFonts w:ascii="Arial" w:eastAsia="宋体" w:hAnsi="Arial" w:cs="Arial"/>
          <w:color w:val="333333"/>
          <w:kern w:val="0"/>
          <w:sz w:val="24"/>
          <w:szCs w:val="24"/>
        </w:rPr>
        <w:t>一</w:t>
      </w:r>
      <w:proofErr w:type="gramEnd"/>
      <w:r w:rsidRPr="007745FF">
        <w:rPr>
          <w:rFonts w:ascii="Arial" w:eastAsia="宋体" w:hAnsi="Arial" w:cs="Arial"/>
          <w:color w:val="333333"/>
          <w:kern w:val="0"/>
          <w:sz w:val="24"/>
          <w:szCs w:val="24"/>
        </w:rPr>
        <w:t>已知的药物并与原联合化疗方案进行对比，旨在证实新药在联合化疗方案中的作用。</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受试人群的选择</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期临床试验应选择在</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期临床试验观察到的有一定疗效的肿瘤类型，同样应符合入选</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期临床试验的基本条件。筛选出的</w:t>
      </w:r>
      <w:proofErr w:type="gramStart"/>
      <w:r w:rsidRPr="007745FF">
        <w:rPr>
          <w:rFonts w:ascii="Arial" w:eastAsia="宋体" w:hAnsi="Arial" w:cs="Arial"/>
          <w:color w:val="333333"/>
          <w:kern w:val="0"/>
          <w:sz w:val="24"/>
          <w:szCs w:val="24"/>
        </w:rPr>
        <w:t>每个瘤种都</w:t>
      </w:r>
      <w:proofErr w:type="gramEnd"/>
      <w:r w:rsidRPr="007745FF">
        <w:rPr>
          <w:rFonts w:ascii="Arial" w:eastAsia="宋体" w:hAnsi="Arial" w:cs="Arial"/>
          <w:color w:val="333333"/>
          <w:kern w:val="0"/>
          <w:sz w:val="24"/>
          <w:szCs w:val="24"/>
        </w:rPr>
        <w:t>需要进行大样本、随机、对照试验来确证其疗效和安全性。</w:t>
      </w:r>
      <w:proofErr w:type="gramStart"/>
      <w:r w:rsidRPr="007745FF">
        <w:rPr>
          <w:rFonts w:ascii="Arial" w:eastAsia="宋体" w:hAnsi="Arial" w:cs="Arial"/>
          <w:color w:val="333333"/>
          <w:kern w:val="0"/>
          <w:sz w:val="24"/>
          <w:szCs w:val="24"/>
        </w:rPr>
        <w:t>每个瘤种样本量</w:t>
      </w:r>
      <w:proofErr w:type="gramEnd"/>
      <w:r w:rsidRPr="007745FF">
        <w:rPr>
          <w:rFonts w:ascii="Arial" w:eastAsia="宋体" w:hAnsi="Arial" w:cs="Arial"/>
          <w:color w:val="333333"/>
          <w:kern w:val="0"/>
          <w:sz w:val="24"/>
          <w:szCs w:val="24"/>
        </w:rPr>
        <w:t>应依据两组主要疗效指标的预期差异，依据统计学原理估算得到。</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样本含量的估计应根据主要疗效指标来确定。如果主要疗效指标是时间</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事件</w:t>
      </w:r>
      <w:r w:rsidR="00721E66" w:rsidRPr="007745FF">
        <w:rPr>
          <w:rFonts w:ascii="Arial" w:eastAsia="宋体" w:hAnsi="Arial" w:cs="Arial"/>
          <w:color w:val="333333"/>
          <w:kern w:val="0"/>
          <w:sz w:val="24"/>
          <w:szCs w:val="24"/>
        </w:rPr>
        <w:fldChar w:fldCharType="begin"/>
      </w:r>
      <w:r w:rsidRPr="007745FF">
        <w:rPr>
          <w:rFonts w:ascii="Arial" w:eastAsia="宋体" w:hAnsi="Arial" w:cs="Arial"/>
          <w:color w:val="333333"/>
          <w:kern w:val="0"/>
          <w:sz w:val="24"/>
          <w:szCs w:val="24"/>
        </w:rPr>
        <w:instrText xml:space="preserve"> HYPERLINK "https://baike.baidu.com/item/%E5%8F%98%E9%87%8F" \t "_blank" </w:instrText>
      </w:r>
      <w:r w:rsidR="00721E66" w:rsidRPr="007745FF">
        <w:rPr>
          <w:rFonts w:ascii="Arial" w:eastAsia="宋体" w:hAnsi="Arial" w:cs="Arial"/>
          <w:color w:val="333333"/>
          <w:kern w:val="0"/>
          <w:sz w:val="24"/>
          <w:szCs w:val="24"/>
        </w:rPr>
        <w:fldChar w:fldCharType="separate"/>
      </w:r>
      <w:r w:rsidRPr="007745FF">
        <w:rPr>
          <w:rFonts w:ascii="Arial" w:eastAsia="宋体" w:hAnsi="Arial" w:cs="Arial"/>
          <w:color w:val="136EC2"/>
          <w:kern w:val="0"/>
          <w:sz w:val="24"/>
          <w:szCs w:val="24"/>
          <w:u w:val="single"/>
        </w:rPr>
        <w:t>变量</w:t>
      </w:r>
      <w:r w:rsidR="00721E66" w:rsidRPr="007745FF">
        <w:rPr>
          <w:rFonts w:ascii="Arial" w:eastAsia="宋体" w:hAnsi="Arial" w:cs="Arial"/>
          <w:color w:val="333333"/>
          <w:kern w:val="0"/>
          <w:sz w:val="24"/>
          <w:szCs w:val="24"/>
        </w:rPr>
        <w:fldChar w:fldCharType="end"/>
      </w:r>
      <w:r w:rsidRPr="007745FF">
        <w:rPr>
          <w:rFonts w:ascii="Arial" w:eastAsia="宋体" w:hAnsi="Arial" w:cs="Arial"/>
          <w:color w:val="333333"/>
          <w:kern w:val="0"/>
          <w:sz w:val="24"/>
          <w:szCs w:val="24"/>
        </w:rPr>
        <w:t>，则需要根据相应的生存分析（</w:t>
      </w:r>
      <w:r w:rsidRPr="007745FF">
        <w:rPr>
          <w:rFonts w:ascii="Arial" w:eastAsia="宋体" w:hAnsi="Arial" w:cs="Arial"/>
          <w:color w:val="333333"/>
          <w:kern w:val="0"/>
          <w:sz w:val="24"/>
          <w:szCs w:val="24"/>
        </w:rPr>
        <w:t>survival analysis</w:t>
      </w:r>
      <w:r w:rsidRPr="007745FF">
        <w:rPr>
          <w:rFonts w:ascii="Arial" w:eastAsia="宋体" w:hAnsi="Arial" w:cs="Arial"/>
          <w:color w:val="333333"/>
          <w:kern w:val="0"/>
          <w:sz w:val="24"/>
          <w:szCs w:val="24"/>
        </w:rPr>
        <w:t>）方法估计样本含量。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4.</w:t>
      </w:r>
      <w:r w:rsidRPr="007745FF">
        <w:rPr>
          <w:rFonts w:ascii="Arial" w:eastAsia="宋体" w:hAnsi="Arial" w:cs="Arial"/>
          <w:color w:val="333333"/>
          <w:kern w:val="0"/>
          <w:sz w:val="24"/>
          <w:szCs w:val="24"/>
        </w:rPr>
        <w:t>给药方案根据</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期临床试验结果确定合理的给药方案。给药疗程应考虑细胞毒和非细胞毒类药物的差异，后者一般持续应用到疾病进展或出现不可耐受的毒性。对于某些特定的治疗如辅助治疗，应参照</w:t>
      </w:r>
      <w:proofErr w:type="gramStart"/>
      <w:r w:rsidRPr="007745FF">
        <w:rPr>
          <w:rFonts w:ascii="Arial" w:eastAsia="宋体" w:hAnsi="Arial" w:cs="Arial"/>
          <w:color w:val="333333"/>
          <w:kern w:val="0"/>
          <w:sz w:val="24"/>
          <w:szCs w:val="24"/>
        </w:rPr>
        <w:t>相应瘤种的</w:t>
      </w:r>
      <w:proofErr w:type="gramEnd"/>
      <w:r w:rsidRPr="007745FF">
        <w:rPr>
          <w:rFonts w:ascii="Arial" w:eastAsia="宋体" w:hAnsi="Arial" w:cs="Arial"/>
          <w:color w:val="333333"/>
          <w:kern w:val="0"/>
          <w:sz w:val="24"/>
          <w:szCs w:val="24"/>
        </w:rPr>
        <w:t>临床治疗指南确定其疗程。</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试验过程中允许进行剂量调整，应当给出具体的调整原则，例如因毒性的减量原则。</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5.</w:t>
      </w:r>
      <w:r w:rsidRPr="007745FF">
        <w:rPr>
          <w:rFonts w:ascii="Arial" w:eastAsia="宋体" w:hAnsi="Arial" w:cs="Arial"/>
          <w:color w:val="333333"/>
          <w:kern w:val="0"/>
          <w:sz w:val="24"/>
          <w:szCs w:val="24"/>
        </w:rPr>
        <w:t>疗效观察和评价早期临床试验（</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期）主要是评价安全性及确定药物的生物活性，如肿瘤的客观缓解，</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期研究则主要评价药物是否提供临床受益。因此支持药物批准上市的疗效终点指标通常应当是显示临床受益的证据如</w:t>
      </w:r>
      <w:proofErr w:type="gramStart"/>
      <w:r w:rsidRPr="007745FF">
        <w:rPr>
          <w:rFonts w:ascii="Arial" w:eastAsia="宋体" w:hAnsi="Arial" w:cs="Arial"/>
          <w:color w:val="333333"/>
          <w:kern w:val="0"/>
          <w:sz w:val="24"/>
          <w:szCs w:val="24"/>
        </w:rPr>
        <w:t>总生存</w:t>
      </w:r>
      <w:proofErr w:type="gramEnd"/>
      <w:r w:rsidRPr="007745FF">
        <w:rPr>
          <w:rFonts w:ascii="Arial" w:eastAsia="宋体" w:hAnsi="Arial" w:cs="Arial"/>
          <w:color w:val="333333"/>
          <w:kern w:val="0"/>
          <w:sz w:val="24"/>
          <w:szCs w:val="24"/>
        </w:rPr>
        <w:t>的延长，或者已经建立的可以预测临床受益的替代终点。</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目前常用的抗肿瘤疗效观察指标包括总生存期</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Overall Survival ,OS</w:t>
      </w:r>
      <w:r w:rsidRPr="007745FF">
        <w:rPr>
          <w:rFonts w:ascii="Arial" w:eastAsia="宋体" w:hAnsi="Arial" w:cs="Arial"/>
          <w:color w:val="333333"/>
          <w:kern w:val="0"/>
          <w:sz w:val="24"/>
          <w:szCs w:val="24"/>
        </w:rPr>
        <w:t>）、无病生存期（</w:t>
      </w:r>
      <w:r w:rsidRPr="007745FF">
        <w:rPr>
          <w:rFonts w:ascii="Arial" w:eastAsia="宋体" w:hAnsi="Arial" w:cs="Arial"/>
          <w:color w:val="333333"/>
          <w:kern w:val="0"/>
          <w:sz w:val="24"/>
          <w:szCs w:val="24"/>
        </w:rPr>
        <w:t>Disease</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Free Survival ,DFS</w:t>
      </w:r>
      <w:r w:rsidRPr="007745FF">
        <w:rPr>
          <w:rFonts w:ascii="Arial" w:eastAsia="宋体" w:hAnsi="Arial" w:cs="Arial"/>
          <w:color w:val="333333"/>
          <w:kern w:val="0"/>
          <w:sz w:val="24"/>
          <w:szCs w:val="24"/>
        </w:rPr>
        <w:t>）、无进展生存期（</w:t>
      </w:r>
      <w:r w:rsidRPr="007745FF">
        <w:rPr>
          <w:rFonts w:ascii="Arial" w:eastAsia="宋体" w:hAnsi="Arial" w:cs="Arial"/>
          <w:color w:val="333333"/>
          <w:kern w:val="0"/>
          <w:sz w:val="24"/>
          <w:szCs w:val="24"/>
        </w:rPr>
        <w:t>Progression-</w:t>
      </w:r>
      <w:proofErr w:type="spellStart"/>
      <w:r w:rsidRPr="007745FF">
        <w:rPr>
          <w:rFonts w:ascii="Arial" w:eastAsia="宋体" w:hAnsi="Arial" w:cs="Arial"/>
          <w:color w:val="333333"/>
          <w:kern w:val="0"/>
          <w:sz w:val="24"/>
          <w:szCs w:val="24"/>
        </w:rPr>
        <w:t>FreeSurvival</w:t>
      </w:r>
      <w:proofErr w:type="spellEnd"/>
      <w:r w:rsidRPr="007745FF">
        <w:rPr>
          <w:rFonts w:ascii="Arial" w:eastAsia="宋体" w:hAnsi="Arial" w:cs="Arial"/>
          <w:color w:val="333333"/>
          <w:kern w:val="0"/>
          <w:sz w:val="24"/>
          <w:szCs w:val="24"/>
        </w:rPr>
        <w:t xml:space="preserve"> ,PFS</w:t>
      </w:r>
      <w:r w:rsidRPr="007745FF">
        <w:rPr>
          <w:rFonts w:ascii="Arial" w:eastAsia="宋体" w:hAnsi="Arial" w:cs="Arial"/>
          <w:color w:val="333333"/>
          <w:kern w:val="0"/>
          <w:sz w:val="24"/>
          <w:szCs w:val="24"/>
        </w:rPr>
        <w:t>）、疾病进展时间（</w:t>
      </w:r>
      <w:r w:rsidRPr="007745FF">
        <w:rPr>
          <w:rFonts w:ascii="Arial" w:eastAsia="宋体" w:hAnsi="Arial" w:cs="Arial"/>
          <w:color w:val="333333"/>
          <w:kern w:val="0"/>
          <w:sz w:val="24"/>
          <w:szCs w:val="24"/>
        </w:rPr>
        <w:t>Time to Progression ,TTP</w:t>
      </w:r>
      <w:r w:rsidRPr="007745FF">
        <w:rPr>
          <w:rFonts w:ascii="Arial" w:eastAsia="宋体" w:hAnsi="Arial" w:cs="Arial"/>
          <w:color w:val="333333"/>
          <w:kern w:val="0"/>
          <w:sz w:val="24"/>
          <w:szCs w:val="24"/>
        </w:rPr>
        <w:t>）、治疗失败时间（</w:t>
      </w:r>
      <w:r w:rsidRPr="007745FF">
        <w:rPr>
          <w:rFonts w:ascii="Arial" w:eastAsia="宋体" w:hAnsi="Arial" w:cs="Arial"/>
          <w:color w:val="333333"/>
          <w:kern w:val="0"/>
          <w:sz w:val="24"/>
          <w:szCs w:val="24"/>
        </w:rPr>
        <w:t xml:space="preserve">Time to </w:t>
      </w:r>
      <w:proofErr w:type="spellStart"/>
      <w:r w:rsidRPr="007745FF">
        <w:rPr>
          <w:rFonts w:ascii="Arial" w:eastAsia="宋体" w:hAnsi="Arial" w:cs="Arial"/>
          <w:color w:val="333333"/>
          <w:kern w:val="0"/>
          <w:sz w:val="24"/>
          <w:szCs w:val="24"/>
        </w:rPr>
        <w:t>TreatmentFailure</w:t>
      </w:r>
      <w:proofErr w:type="spellEnd"/>
      <w:r w:rsidRPr="007745FF">
        <w:rPr>
          <w:rFonts w:ascii="Arial" w:eastAsia="宋体" w:hAnsi="Arial" w:cs="Arial"/>
          <w:color w:val="333333"/>
          <w:kern w:val="0"/>
          <w:sz w:val="24"/>
          <w:szCs w:val="24"/>
        </w:rPr>
        <w:t xml:space="preserve"> ,TTF</w:t>
      </w:r>
      <w:r w:rsidRPr="007745FF">
        <w:rPr>
          <w:rFonts w:ascii="Arial" w:eastAsia="宋体" w:hAnsi="Arial" w:cs="Arial"/>
          <w:color w:val="333333"/>
          <w:kern w:val="0"/>
          <w:sz w:val="24"/>
          <w:szCs w:val="24"/>
        </w:rPr>
        <w:t>）、客观缓解率（</w:t>
      </w:r>
      <w:r w:rsidRPr="007745FF">
        <w:rPr>
          <w:rFonts w:ascii="Arial" w:eastAsia="宋体" w:hAnsi="Arial" w:cs="Arial"/>
          <w:color w:val="333333"/>
          <w:kern w:val="0"/>
          <w:sz w:val="24"/>
          <w:szCs w:val="24"/>
        </w:rPr>
        <w:t xml:space="preserve">Objective </w:t>
      </w:r>
      <w:proofErr w:type="spellStart"/>
      <w:r w:rsidRPr="007745FF">
        <w:rPr>
          <w:rFonts w:ascii="Arial" w:eastAsia="宋体" w:hAnsi="Arial" w:cs="Arial"/>
          <w:color w:val="333333"/>
          <w:kern w:val="0"/>
          <w:sz w:val="24"/>
          <w:szCs w:val="24"/>
        </w:rPr>
        <w:t>ResponseRate</w:t>
      </w:r>
      <w:proofErr w:type="spellEnd"/>
      <w:r w:rsidRPr="007745FF">
        <w:rPr>
          <w:rFonts w:ascii="Arial" w:eastAsia="宋体" w:hAnsi="Arial" w:cs="Arial"/>
          <w:color w:val="333333"/>
          <w:kern w:val="0"/>
          <w:sz w:val="24"/>
          <w:szCs w:val="24"/>
        </w:rPr>
        <w:t xml:space="preserve"> ,ORR</w:t>
      </w:r>
      <w:r w:rsidRPr="007745FF">
        <w:rPr>
          <w:rFonts w:ascii="Arial" w:eastAsia="宋体" w:hAnsi="Arial" w:cs="Arial"/>
          <w:color w:val="333333"/>
          <w:kern w:val="0"/>
          <w:sz w:val="24"/>
          <w:szCs w:val="24"/>
        </w:rPr>
        <w:t>）、患者自评结果（</w:t>
      </w:r>
      <w:r w:rsidRPr="007745FF">
        <w:rPr>
          <w:rFonts w:ascii="Arial" w:eastAsia="宋体" w:hAnsi="Arial" w:cs="Arial"/>
          <w:color w:val="333333"/>
          <w:kern w:val="0"/>
          <w:sz w:val="24"/>
          <w:szCs w:val="24"/>
        </w:rPr>
        <w:t>Patient-reported Outcomes, PRO</w:t>
      </w:r>
      <w:r w:rsidRPr="007745FF">
        <w:rPr>
          <w:rFonts w:ascii="Arial" w:eastAsia="宋体" w:hAnsi="Arial" w:cs="Arial"/>
          <w:color w:val="333333"/>
          <w:kern w:val="0"/>
          <w:sz w:val="24"/>
          <w:szCs w:val="24"/>
        </w:rPr>
        <w:t>）和健康相关的生活质量（</w:t>
      </w:r>
      <w:r w:rsidRPr="007745FF">
        <w:rPr>
          <w:rFonts w:ascii="Arial" w:eastAsia="宋体" w:hAnsi="Arial" w:cs="Arial"/>
          <w:color w:val="333333"/>
          <w:kern w:val="0"/>
          <w:sz w:val="24"/>
          <w:szCs w:val="24"/>
        </w:rPr>
        <w:t>Health-</w:t>
      </w:r>
      <w:proofErr w:type="spellStart"/>
      <w:r w:rsidRPr="007745FF">
        <w:rPr>
          <w:rFonts w:ascii="Arial" w:eastAsia="宋体" w:hAnsi="Arial" w:cs="Arial"/>
          <w:color w:val="333333"/>
          <w:kern w:val="0"/>
          <w:sz w:val="24"/>
          <w:szCs w:val="24"/>
        </w:rPr>
        <w:t>relatedQuality</w:t>
      </w:r>
      <w:proofErr w:type="spellEnd"/>
      <w:r w:rsidRPr="007745FF">
        <w:rPr>
          <w:rFonts w:ascii="Arial" w:eastAsia="宋体" w:hAnsi="Arial" w:cs="Arial"/>
          <w:color w:val="333333"/>
          <w:kern w:val="0"/>
          <w:sz w:val="24"/>
          <w:szCs w:val="24"/>
        </w:rPr>
        <w:t xml:space="preserve"> of Life, </w:t>
      </w:r>
      <w:proofErr w:type="spellStart"/>
      <w:r w:rsidRPr="007745FF">
        <w:rPr>
          <w:rFonts w:ascii="Arial" w:eastAsia="宋体" w:hAnsi="Arial" w:cs="Arial"/>
          <w:color w:val="333333"/>
          <w:kern w:val="0"/>
          <w:sz w:val="24"/>
          <w:szCs w:val="24"/>
        </w:rPr>
        <w:t>HRQoL</w:t>
      </w:r>
      <w:proofErr w:type="spellEnd"/>
      <w:r w:rsidRPr="007745FF">
        <w:rPr>
          <w:rFonts w:ascii="Arial" w:eastAsia="宋体" w:hAnsi="Arial" w:cs="Arial"/>
          <w:color w:val="333333"/>
          <w:kern w:val="0"/>
          <w:sz w:val="24"/>
          <w:szCs w:val="24"/>
        </w:rPr>
        <w:t>）以及生物标志物（</w:t>
      </w:r>
      <w:r w:rsidRPr="007745FF">
        <w:rPr>
          <w:rFonts w:ascii="Arial" w:eastAsia="宋体" w:hAnsi="Arial" w:cs="Arial"/>
          <w:color w:val="333333"/>
          <w:kern w:val="0"/>
          <w:sz w:val="24"/>
          <w:szCs w:val="24"/>
        </w:rPr>
        <w:t>Biomarker</w:t>
      </w:r>
      <w:r w:rsidRPr="007745FF">
        <w:rPr>
          <w:rFonts w:ascii="Arial" w:eastAsia="宋体" w:hAnsi="Arial" w:cs="Arial"/>
          <w:color w:val="333333"/>
          <w:kern w:val="0"/>
          <w:sz w:val="24"/>
          <w:szCs w:val="24"/>
        </w:rPr>
        <w:t>）等。不同指标具有自身的优点和缺点</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申请人应根据所研究的药物类别、肿瘤类型、当前临床治疗状况以及开发目标等来综合考虑，选择合适的主要和次要疗效观察指标。总生存期通常被认为是评价药物临床获益的首选终点。</w:t>
      </w:r>
      <w:proofErr w:type="gramStart"/>
      <w:r w:rsidRPr="007745FF">
        <w:rPr>
          <w:rFonts w:ascii="Arial" w:eastAsia="宋体" w:hAnsi="Arial" w:cs="Arial"/>
          <w:color w:val="333333"/>
          <w:kern w:val="0"/>
          <w:sz w:val="24"/>
          <w:szCs w:val="24"/>
        </w:rPr>
        <w:t>当用于</w:t>
      </w:r>
      <w:proofErr w:type="gramEnd"/>
      <w:r w:rsidRPr="007745FF">
        <w:rPr>
          <w:rFonts w:ascii="Arial" w:eastAsia="宋体" w:hAnsi="Arial" w:cs="Arial"/>
          <w:color w:val="333333"/>
          <w:kern w:val="0"/>
          <w:sz w:val="24"/>
          <w:szCs w:val="24"/>
        </w:rPr>
        <w:t>治疗严重或威胁生命的疾病、对现有治疗有明显改进、或填补某种疾病治疗空白的药物进行审批时，</w:t>
      </w:r>
      <w:r w:rsidRPr="007745FF">
        <w:rPr>
          <w:rFonts w:ascii="Arial" w:eastAsia="宋体" w:hAnsi="Arial" w:cs="Arial"/>
          <w:color w:val="333333"/>
          <w:kern w:val="0"/>
          <w:sz w:val="24"/>
          <w:szCs w:val="24"/>
        </w:rPr>
        <w:t>SFDA</w:t>
      </w:r>
      <w:r w:rsidRPr="007745FF">
        <w:rPr>
          <w:rFonts w:ascii="Arial" w:eastAsia="宋体" w:hAnsi="Arial" w:cs="Arial"/>
          <w:color w:val="333333"/>
          <w:kern w:val="0"/>
          <w:sz w:val="24"/>
          <w:szCs w:val="24"/>
        </w:rPr>
        <w:t>可能同意采用能够合理预测临床获益的替代终点批准药物上市。有关各终点指标选择的考虑请参见《抗肿瘤药物临床试验终点技术指导原则》。</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 xml:space="preserve">6. </w:t>
      </w:r>
      <w:r w:rsidRPr="007745FF">
        <w:rPr>
          <w:rFonts w:ascii="Arial" w:eastAsia="宋体" w:hAnsi="Arial" w:cs="Arial"/>
          <w:color w:val="333333"/>
          <w:kern w:val="0"/>
          <w:sz w:val="24"/>
          <w:szCs w:val="24"/>
        </w:rPr>
        <w:t>安全性的观察和评价安全性考察内容除了一般常规项目之外，应重点关注</w:t>
      </w:r>
      <w:r w:rsidRPr="007745FF">
        <w:rPr>
          <w:rFonts w:ascii="宋体" w:eastAsia="宋体" w:hAnsi="宋体" w:cs="宋体" w:hint="eastAsia"/>
          <w:color w:val="333333"/>
          <w:kern w:val="0"/>
          <w:sz w:val="24"/>
          <w:szCs w:val="24"/>
        </w:rPr>
        <w:t>Ⅰ</w:t>
      </w:r>
      <w:r w:rsidRPr="007745FF">
        <w:rPr>
          <w:rFonts w:ascii="Arial" w:eastAsia="宋体" w:hAnsi="Arial" w:cs="Arial"/>
          <w:color w:val="333333"/>
          <w:kern w:val="0"/>
          <w:sz w:val="24"/>
          <w:szCs w:val="24"/>
        </w:rPr>
        <w:t>/</w:t>
      </w:r>
      <w:r w:rsidRPr="007745FF">
        <w:rPr>
          <w:rFonts w:ascii="宋体" w:eastAsia="宋体" w:hAnsi="宋体" w:cs="宋体" w:hint="eastAsia"/>
          <w:color w:val="333333"/>
          <w:kern w:val="0"/>
          <w:sz w:val="24"/>
          <w:szCs w:val="24"/>
        </w:rPr>
        <w:t>Ⅱ</w:t>
      </w:r>
      <w:r w:rsidRPr="007745FF">
        <w:rPr>
          <w:rFonts w:ascii="Arial" w:eastAsia="宋体" w:hAnsi="Arial" w:cs="Arial"/>
          <w:color w:val="333333"/>
          <w:kern w:val="0"/>
          <w:sz w:val="24"/>
          <w:szCs w:val="24"/>
        </w:rPr>
        <w:t>期临床试验和非临床试验观察到的毒性以及少见毒性。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7.</w:t>
      </w:r>
      <w:r w:rsidRPr="007745FF">
        <w:rPr>
          <w:rFonts w:ascii="Arial" w:eastAsia="宋体" w:hAnsi="Arial" w:cs="Arial"/>
          <w:color w:val="333333"/>
          <w:kern w:val="0"/>
          <w:sz w:val="24"/>
          <w:szCs w:val="24"/>
        </w:rPr>
        <w:t>中期分析由于抗肿瘤药物</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通常选择生存期作为疗效观察指标，所需时间长，投资风险较大。因此，考虑进行必要的中期分析是可行的，可以对安全性和有效性进行监控，也可依据中期分析结果对后续临床研究的实施提出建议，如是否需要对方案进行修订，是否需要调整随机分组</w:t>
      </w:r>
      <w:hyperlink r:id="rId80" w:tgtFrame="_blank" w:history="1">
        <w:r w:rsidRPr="007745FF">
          <w:rPr>
            <w:rFonts w:ascii="Arial" w:eastAsia="宋体" w:hAnsi="Arial" w:cs="Arial"/>
            <w:color w:val="136EC2"/>
            <w:kern w:val="0"/>
            <w:sz w:val="24"/>
            <w:szCs w:val="24"/>
            <w:u w:val="single"/>
          </w:rPr>
          <w:t>概率</w:t>
        </w:r>
      </w:hyperlink>
      <w:r w:rsidRPr="007745FF">
        <w:rPr>
          <w:rFonts w:ascii="Arial" w:eastAsia="宋体" w:hAnsi="Arial" w:cs="Arial"/>
          <w:color w:val="333333"/>
          <w:kern w:val="0"/>
          <w:sz w:val="24"/>
          <w:szCs w:val="24"/>
        </w:rPr>
        <w:t>，是否需要重新估计样本含量，是否终止试验等。中期分析必须事先在方案中确定，中期分析的方法，以及中期分析后不</w:t>
      </w:r>
      <w:hyperlink r:id="rId81" w:tgtFrame="_blank" w:history="1">
        <w:r w:rsidRPr="007745FF">
          <w:rPr>
            <w:rFonts w:ascii="Arial" w:eastAsia="宋体" w:hAnsi="Arial" w:cs="Arial"/>
            <w:color w:val="136EC2"/>
            <w:kern w:val="0"/>
            <w:sz w:val="24"/>
            <w:szCs w:val="24"/>
            <w:u w:val="single"/>
          </w:rPr>
          <w:t>同情</w:t>
        </w:r>
      </w:hyperlink>
      <w:proofErr w:type="gramStart"/>
      <w:r w:rsidRPr="007745FF">
        <w:rPr>
          <w:rFonts w:ascii="Arial" w:eastAsia="宋体" w:hAnsi="Arial" w:cs="Arial"/>
          <w:color w:val="333333"/>
          <w:kern w:val="0"/>
          <w:sz w:val="24"/>
          <w:szCs w:val="24"/>
        </w:rPr>
        <w:t>况</w:t>
      </w:r>
      <w:proofErr w:type="gramEnd"/>
      <w:r w:rsidRPr="007745FF">
        <w:rPr>
          <w:rFonts w:ascii="Arial" w:eastAsia="宋体" w:hAnsi="Arial" w:cs="Arial"/>
          <w:color w:val="333333"/>
          <w:kern w:val="0"/>
          <w:sz w:val="24"/>
          <w:szCs w:val="24"/>
        </w:rPr>
        <w:t>下所要采取的措施，均需事先详细阐明。中期分析包含了已揭盲的数据及结果，因此，进行中期分析的人员应该是不直接参加临床试验的人员，并接受</w:t>
      </w:r>
      <w:hyperlink r:id="rId82" w:tgtFrame="_blank" w:history="1">
        <w:r w:rsidRPr="007745FF">
          <w:rPr>
            <w:rFonts w:ascii="Arial" w:eastAsia="宋体" w:hAnsi="Arial" w:cs="Arial"/>
            <w:color w:val="136EC2"/>
            <w:kern w:val="0"/>
            <w:sz w:val="24"/>
            <w:szCs w:val="24"/>
            <w:u w:val="single"/>
          </w:rPr>
          <w:t>独立</w:t>
        </w:r>
      </w:hyperlink>
      <w:r w:rsidRPr="007745FF">
        <w:rPr>
          <w:rFonts w:ascii="Arial" w:eastAsia="宋体" w:hAnsi="Arial" w:cs="Arial"/>
          <w:color w:val="333333"/>
          <w:kern w:val="0"/>
          <w:sz w:val="24"/>
          <w:szCs w:val="24"/>
        </w:rPr>
        <w:t>的数据监察委员会（</w:t>
      </w:r>
      <w:r w:rsidRPr="007745FF">
        <w:rPr>
          <w:rFonts w:ascii="Arial" w:eastAsia="宋体" w:hAnsi="Arial" w:cs="Arial"/>
          <w:color w:val="333333"/>
          <w:kern w:val="0"/>
          <w:sz w:val="24"/>
          <w:szCs w:val="24"/>
        </w:rPr>
        <w:t xml:space="preserve">Independent Data Monitoring </w:t>
      </w:r>
      <w:proofErr w:type="spellStart"/>
      <w:r w:rsidRPr="007745FF">
        <w:rPr>
          <w:rFonts w:ascii="Arial" w:eastAsia="宋体" w:hAnsi="Arial" w:cs="Arial"/>
          <w:color w:val="333333"/>
          <w:kern w:val="0"/>
          <w:sz w:val="24"/>
          <w:szCs w:val="24"/>
        </w:rPr>
        <w:t>Committee,IDMC</w:t>
      </w:r>
      <w:proofErr w:type="spellEnd"/>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1[1]</w:t>
      </w:r>
      <w:r w:rsidRPr="007745FF">
        <w:rPr>
          <w:rFonts w:ascii="Arial" w:eastAsia="宋体" w:hAnsi="Arial" w:cs="Arial"/>
          <w:color w:val="333333"/>
          <w:kern w:val="0"/>
          <w:sz w:val="24"/>
          <w:szCs w:val="24"/>
        </w:rPr>
        <w:t>的监督</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分析结果必须保持盲态，研究者仅仅会被告知是否继续试验或需要对试验方案进行修改。期中分析的日程安排、所采用的</w:t>
      </w:r>
      <w:r w:rsidRPr="007745FF">
        <w:rPr>
          <w:rFonts w:ascii="Arial" w:eastAsia="宋体" w:hAnsi="Arial" w:cs="Arial"/>
          <w:color w:val="333333"/>
          <w:kern w:val="0"/>
          <w:sz w:val="24"/>
          <w:szCs w:val="24"/>
        </w:rPr>
        <w:t>α</w:t>
      </w:r>
      <w:r w:rsidRPr="007745FF">
        <w:rPr>
          <w:rFonts w:ascii="Arial" w:eastAsia="宋体" w:hAnsi="Arial" w:cs="Arial"/>
          <w:color w:val="333333"/>
          <w:kern w:val="0"/>
          <w:sz w:val="24"/>
          <w:szCs w:val="24"/>
        </w:rPr>
        <w:t>消耗函数（</w:t>
      </w:r>
      <w:r w:rsidRPr="007745FF">
        <w:rPr>
          <w:rFonts w:ascii="Arial" w:eastAsia="宋体" w:hAnsi="Arial" w:cs="Arial"/>
          <w:color w:val="333333"/>
          <w:kern w:val="0"/>
          <w:sz w:val="24"/>
          <w:szCs w:val="24"/>
        </w:rPr>
        <w:t>alpha-</w:t>
      </w:r>
      <w:proofErr w:type="spellStart"/>
      <w:r w:rsidRPr="007745FF">
        <w:rPr>
          <w:rFonts w:ascii="Arial" w:eastAsia="宋体" w:hAnsi="Arial" w:cs="Arial"/>
          <w:color w:val="333333"/>
          <w:kern w:val="0"/>
          <w:sz w:val="24"/>
          <w:szCs w:val="24"/>
        </w:rPr>
        <w:t>spendingfunction</w:t>
      </w:r>
      <w:proofErr w:type="spellEnd"/>
      <w:r w:rsidRPr="007745FF">
        <w:rPr>
          <w:rFonts w:ascii="Arial" w:eastAsia="宋体" w:hAnsi="Arial" w:cs="Arial"/>
          <w:color w:val="333333"/>
          <w:kern w:val="0"/>
          <w:sz w:val="24"/>
          <w:szCs w:val="24"/>
        </w:rPr>
        <w:t>）等应当事先制订计划并在试验方案中阐明，避免影响试验的把握度。</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lastRenderedPageBreak/>
        <w:t>8.</w:t>
      </w:r>
      <w:r w:rsidRPr="007745FF">
        <w:rPr>
          <w:rFonts w:ascii="Arial" w:eastAsia="宋体" w:hAnsi="Arial" w:cs="Arial"/>
          <w:color w:val="333333"/>
          <w:kern w:val="0"/>
          <w:sz w:val="24"/>
          <w:szCs w:val="24"/>
        </w:rPr>
        <w:t>试验结束和中止若遇到以下情况，应考虑提前中止或结束试验或对试验方案进行调整：</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）预期的</w:t>
      </w:r>
      <w:proofErr w:type="gramStart"/>
      <w:r w:rsidRPr="007745FF">
        <w:rPr>
          <w:rFonts w:ascii="Arial" w:eastAsia="宋体" w:hAnsi="Arial" w:cs="Arial"/>
          <w:color w:val="333333"/>
          <w:kern w:val="0"/>
          <w:sz w:val="24"/>
          <w:szCs w:val="24"/>
        </w:rPr>
        <w:t>事件数未达到</w:t>
      </w:r>
      <w:proofErr w:type="gramEnd"/>
      <w:r w:rsidRPr="007745FF">
        <w:rPr>
          <w:rFonts w:ascii="Arial" w:eastAsia="宋体" w:hAnsi="Arial" w:cs="Arial"/>
          <w:color w:val="333333"/>
          <w:kern w:val="0"/>
          <w:sz w:val="24"/>
          <w:szCs w:val="24"/>
        </w:rPr>
        <w:t>目标；</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）如试验药物</w:t>
      </w:r>
      <w:proofErr w:type="gramStart"/>
      <w:r w:rsidRPr="007745FF">
        <w:rPr>
          <w:rFonts w:ascii="Arial" w:eastAsia="宋体" w:hAnsi="Arial" w:cs="Arial"/>
          <w:color w:val="333333"/>
          <w:kern w:val="0"/>
          <w:sz w:val="24"/>
          <w:szCs w:val="24"/>
        </w:rPr>
        <w:t>组显示</w:t>
      </w:r>
      <w:proofErr w:type="gramEnd"/>
      <w:r w:rsidRPr="007745FF">
        <w:rPr>
          <w:rFonts w:ascii="Arial" w:eastAsia="宋体" w:hAnsi="Arial" w:cs="Arial"/>
          <w:color w:val="333333"/>
          <w:kern w:val="0"/>
          <w:sz w:val="24"/>
          <w:szCs w:val="24"/>
        </w:rPr>
        <w:t>出非常明显优于对照组的疗效，对照组受试者继续接受对</w:t>
      </w:r>
      <w:hyperlink r:id="rId83" w:tgtFrame="_blank" w:history="1">
        <w:proofErr w:type="gramStart"/>
        <w:r w:rsidRPr="007745FF">
          <w:rPr>
            <w:rFonts w:ascii="Arial" w:eastAsia="宋体" w:hAnsi="Arial" w:cs="Arial"/>
            <w:color w:val="136EC2"/>
            <w:kern w:val="0"/>
            <w:sz w:val="24"/>
            <w:szCs w:val="24"/>
            <w:u w:val="single"/>
          </w:rPr>
          <w:t>照药</w:t>
        </w:r>
        <w:proofErr w:type="gramEnd"/>
      </w:hyperlink>
      <w:r w:rsidRPr="007745FF">
        <w:rPr>
          <w:rFonts w:ascii="Arial" w:eastAsia="宋体" w:hAnsi="Arial" w:cs="Arial"/>
          <w:color w:val="333333"/>
          <w:kern w:val="0"/>
          <w:sz w:val="24"/>
          <w:szCs w:val="24"/>
        </w:rPr>
        <w:t>治疗是不合适的，应当提前终止，转而接受试验药物的治疗；</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）如预期或非预期的不良事件发生率太高；</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）出现与药物相关的死亡。</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若遇到以下情况时，应考虑患者提前中止或退出试验：</w:t>
      </w:r>
      <w:r w:rsidRPr="007745FF">
        <w:rPr>
          <w:rFonts w:ascii="Arial" w:eastAsia="宋体" w:hAnsi="Arial" w:cs="Arial"/>
          <w:color w:val="333333"/>
          <w:kern w:val="0"/>
          <w:sz w:val="24"/>
          <w:szCs w:val="24"/>
        </w:rPr>
        <w:t>1</w:t>
      </w:r>
      <w:r w:rsidRPr="007745FF">
        <w:rPr>
          <w:rFonts w:ascii="Arial" w:eastAsia="宋体" w:hAnsi="Arial" w:cs="Arial"/>
          <w:color w:val="333333"/>
          <w:kern w:val="0"/>
          <w:sz w:val="24"/>
          <w:szCs w:val="24"/>
        </w:rPr>
        <w:t>）有证据表明疾病进展；</w:t>
      </w:r>
      <w:r w:rsidRPr="007745FF">
        <w:rPr>
          <w:rFonts w:ascii="Arial" w:eastAsia="宋体" w:hAnsi="Arial" w:cs="Arial"/>
          <w:color w:val="333333"/>
          <w:kern w:val="0"/>
          <w:sz w:val="24"/>
          <w:szCs w:val="24"/>
        </w:rPr>
        <w:t>2</w:t>
      </w:r>
      <w:r w:rsidRPr="007745FF">
        <w:rPr>
          <w:rFonts w:ascii="Arial" w:eastAsia="宋体" w:hAnsi="Arial" w:cs="Arial"/>
          <w:color w:val="333333"/>
          <w:kern w:val="0"/>
          <w:sz w:val="24"/>
          <w:szCs w:val="24"/>
        </w:rPr>
        <w:t>）出现不可耐受的毒性或出现蓄积性毒性导致患者无法继续用药；</w:t>
      </w:r>
      <w:r w:rsidRPr="007745FF">
        <w:rPr>
          <w:rFonts w:ascii="Arial" w:eastAsia="宋体" w:hAnsi="Arial" w:cs="Arial"/>
          <w:color w:val="333333"/>
          <w:kern w:val="0"/>
          <w:sz w:val="24"/>
          <w:szCs w:val="24"/>
        </w:rPr>
        <w:t>3</w:t>
      </w:r>
      <w:r w:rsidRPr="007745FF">
        <w:rPr>
          <w:rFonts w:ascii="Arial" w:eastAsia="宋体" w:hAnsi="Arial" w:cs="Arial"/>
          <w:color w:val="333333"/>
          <w:kern w:val="0"/>
          <w:sz w:val="24"/>
          <w:szCs w:val="24"/>
        </w:rPr>
        <w:t>）患者要求退出；</w:t>
      </w:r>
      <w:r w:rsidRPr="007745FF">
        <w:rPr>
          <w:rFonts w:ascii="Arial" w:eastAsia="宋体" w:hAnsi="Arial" w:cs="Arial"/>
          <w:color w:val="333333"/>
          <w:kern w:val="0"/>
          <w:sz w:val="24"/>
          <w:szCs w:val="24"/>
        </w:rPr>
        <w:t>4</w:t>
      </w:r>
      <w:r w:rsidRPr="007745FF">
        <w:rPr>
          <w:rFonts w:ascii="Arial" w:eastAsia="宋体" w:hAnsi="Arial" w:cs="Arial"/>
          <w:color w:val="333333"/>
          <w:kern w:val="0"/>
          <w:sz w:val="24"/>
          <w:szCs w:val="24"/>
        </w:rPr>
        <w:t>）研究者判断不宜继续进行临床试验。</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9.</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期临床试验总结试验结果总结应包括以下内容：</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明确药物能否给患者带来确切的临床获益</w:t>
      </w:r>
      <w:r w:rsidRPr="007745FF">
        <w:rPr>
          <w:rFonts w:ascii="Arial" w:eastAsia="宋体" w:hAnsi="Arial" w:cs="Arial"/>
          <w:color w:val="333333"/>
          <w:kern w:val="0"/>
          <w:sz w:val="24"/>
          <w:szCs w:val="24"/>
        </w:rPr>
        <w:t xml:space="preserve">, </w:t>
      </w:r>
      <w:r w:rsidRPr="007745FF">
        <w:rPr>
          <w:rFonts w:ascii="Arial" w:eastAsia="宋体" w:hAnsi="Arial" w:cs="Arial"/>
          <w:color w:val="333333"/>
          <w:kern w:val="0"/>
          <w:sz w:val="24"/>
          <w:szCs w:val="24"/>
        </w:rPr>
        <w:t>即能否提高患者总生存期，能否延长肿瘤复发时间，能否延缓肿瘤进展时间，能否有效的缩小肿瘤体积，能否改善临床症状，能否提高生活质量等。</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对时间指标的观察应尽可能地精确，有足够的复查密度，并采用生存分析（</w:t>
      </w:r>
      <w:r w:rsidRPr="007745FF">
        <w:rPr>
          <w:rFonts w:ascii="Arial" w:eastAsia="宋体" w:hAnsi="Arial" w:cs="Arial"/>
          <w:color w:val="333333"/>
          <w:kern w:val="0"/>
          <w:sz w:val="24"/>
          <w:szCs w:val="24"/>
        </w:rPr>
        <w:t>survival analysis</w:t>
      </w:r>
      <w:r w:rsidRPr="007745FF">
        <w:rPr>
          <w:rFonts w:ascii="Arial" w:eastAsia="宋体" w:hAnsi="Arial" w:cs="Arial"/>
          <w:color w:val="333333"/>
          <w:kern w:val="0"/>
          <w:sz w:val="24"/>
          <w:szCs w:val="24"/>
        </w:rPr>
        <w:t>）方法进行评价，以充分利用信息。</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说明药物的急性毒性、亚急性毒性、</w:t>
      </w:r>
      <w:hyperlink r:id="rId84" w:tgtFrame="_blank" w:history="1">
        <w:r w:rsidRPr="007745FF">
          <w:rPr>
            <w:rFonts w:ascii="Arial" w:eastAsia="宋体" w:hAnsi="Arial" w:cs="Arial"/>
            <w:color w:val="136EC2"/>
            <w:kern w:val="0"/>
            <w:sz w:val="24"/>
            <w:szCs w:val="24"/>
            <w:u w:val="single"/>
          </w:rPr>
          <w:t>慢性毒性</w:t>
        </w:r>
      </w:hyperlink>
      <w:r w:rsidRPr="007745FF">
        <w:rPr>
          <w:rFonts w:ascii="Arial" w:eastAsia="宋体" w:hAnsi="Arial" w:cs="Arial"/>
          <w:color w:val="333333"/>
          <w:kern w:val="0"/>
          <w:sz w:val="24"/>
          <w:szCs w:val="24"/>
        </w:rPr>
        <w:t>、蓄积毒性、罕见毒性，与药物相关毒性反应的发生率、严重程度、持续时间、是否可逆、临床后果以及处理方法等。</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结合药物有效和安全性进行风险</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效益评估。应说明在缺乏标准有效治疗的情况下，药物与安慰剂</w:t>
      </w:r>
      <w:hyperlink r:id="rId85" w:tgtFrame="_blank" w:history="1">
        <w:r w:rsidRPr="007745FF">
          <w:rPr>
            <w:rFonts w:ascii="Arial" w:eastAsia="宋体" w:hAnsi="Arial" w:cs="Arial"/>
            <w:color w:val="136EC2"/>
            <w:kern w:val="0"/>
            <w:sz w:val="24"/>
            <w:szCs w:val="24"/>
            <w:u w:val="single"/>
          </w:rPr>
          <w:t>比较</w:t>
        </w:r>
      </w:hyperlink>
      <w:r w:rsidRPr="007745FF">
        <w:rPr>
          <w:rFonts w:ascii="Arial" w:eastAsia="宋体" w:hAnsi="Arial" w:cs="Arial"/>
          <w:color w:val="333333"/>
          <w:kern w:val="0"/>
          <w:sz w:val="24"/>
          <w:szCs w:val="24"/>
        </w:rPr>
        <w:t>的绝对疗效如何。在有标准有效治疗的情况下，药物与标准有效治疗比较的相对疗效如何。通常期望能比较出受试药物的临床优势和价值。比如受试药物可以延</w:t>
      </w:r>
      <w:hyperlink r:id="rId86" w:tgtFrame="_blank" w:history="1">
        <w:r w:rsidRPr="007745FF">
          <w:rPr>
            <w:rFonts w:ascii="Arial" w:eastAsia="宋体" w:hAnsi="Arial" w:cs="Arial"/>
            <w:color w:val="136EC2"/>
            <w:kern w:val="0"/>
            <w:sz w:val="24"/>
            <w:szCs w:val="24"/>
            <w:u w:val="single"/>
          </w:rPr>
          <w:t>长生</w:t>
        </w:r>
      </w:hyperlink>
      <w:r w:rsidRPr="007745FF">
        <w:rPr>
          <w:rFonts w:ascii="Arial" w:eastAsia="宋体" w:hAnsi="Arial" w:cs="Arial"/>
          <w:color w:val="333333"/>
          <w:kern w:val="0"/>
          <w:sz w:val="24"/>
          <w:szCs w:val="24"/>
        </w:rPr>
        <w:t>存时间或可以提高生活质量。</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为了</w:t>
      </w:r>
      <w:proofErr w:type="gramStart"/>
      <w:r w:rsidRPr="007745FF">
        <w:rPr>
          <w:rFonts w:ascii="Arial" w:eastAsia="宋体" w:hAnsi="Arial" w:cs="Arial"/>
          <w:color w:val="333333"/>
          <w:kern w:val="0"/>
          <w:sz w:val="24"/>
          <w:szCs w:val="24"/>
        </w:rPr>
        <w:t>考察受</w:t>
      </w:r>
      <w:proofErr w:type="gramEnd"/>
      <w:r w:rsidRPr="007745FF">
        <w:rPr>
          <w:rFonts w:ascii="Arial" w:eastAsia="宋体" w:hAnsi="Arial" w:cs="Arial"/>
          <w:color w:val="333333"/>
          <w:kern w:val="0"/>
          <w:sz w:val="24"/>
          <w:szCs w:val="24"/>
        </w:rPr>
        <w:t>试药物是否对某一特定人群有效，有必要作进一步分层分析。具体的分层方法必须事先在试验方案或统计分析计划中阐明。事后的（</w:t>
      </w:r>
      <w:r w:rsidRPr="007745FF">
        <w:rPr>
          <w:rFonts w:ascii="Arial" w:eastAsia="宋体" w:hAnsi="Arial" w:cs="Arial"/>
          <w:color w:val="333333"/>
          <w:kern w:val="0"/>
          <w:sz w:val="24"/>
          <w:szCs w:val="24"/>
        </w:rPr>
        <w:t>post hoc</w:t>
      </w:r>
      <w:r w:rsidRPr="007745FF">
        <w:rPr>
          <w:rFonts w:ascii="Arial" w:eastAsia="宋体" w:hAnsi="Arial" w:cs="Arial"/>
          <w:color w:val="333333"/>
          <w:kern w:val="0"/>
          <w:sz w:val="24"/>
          <w:szCs w:val="24"/>
        </w:rPr>
        <w:t>）探索性分层分析结果不能作为批准上市的依据。</w:t>
      </w:r>
    </w:p>
    <w:p w:rsidR="007745FF" w:rsidRPr="007745FF" w:rsidRDefault="007745FF" w:rsidP="007745FF">
      <w:pPr>
        <w:widowControl/>
        <w:shd w:val="clear" w:color="auto" w:fill="FFFFFF"/>
        <w:spacing w:line="276" w:lineRule="auto"/>
        <w:jc w:val="left"/>
        <w:outlineLvl w:val="1"/>
        <w:rPr>
          <w:rFonts w:ascii="微软雅黑" w:eastAsia="微软雅黑" w:hAnsi="微软雅黑" w:cs="宋体"/>
          <w:color w:val="000000"/>
          <w:kern w:val="0"/>
          <w:sz w:val="24"/>
          <w:szCs w:val="24"/>
        </w:rPr>
      </w:pPr>
      <w:bookmarkStart w:id="12" w:name="5"/>
      <w:bookmarkStart w:id="13" w:name="sub9337671_5"/>
      <w:bookmarkStart w:id="14" w:name="临床研究报告"/>
      <w:bookmarkEnd w:id="12"/>
      <w:bookmarkEnd w:id="13"/>
      <w:bookmarkEnd w:id="14"/>
      <w:r w:rsidRPr="007745FF">
        <w:rPr>
          <w:rFonts w:ascii="微软雅黑" w:eastAsia="微软雅黑" w:hAnsi="微软雅黑" w:cs="宋体" w:hint="eastAsia"/>
          <w:color w:val="000000"/>
          <w:kern w:val="0"/>
          <w:sz w:val="24"/>
          <w:szCs w:val="24"/>
        </w:rPr>
        <w:t>临床研究报告</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研究结束后应提供临床研究报告对药物临床试验过程和结果进行全面总结，应对各项试验的整体设计及其关键点给予清晰的阐述，应该包括必要的基础数据和分析方法，以便于能够重现对数据和结果的分析。具体临床试验报告撰写要求及临床数据提交要求参见《化学药物临床试验报告</w:t>
      </w:r>
      <w:hyperlink r:id="rId87" w:tgtFrame="_blank" w:history="1">
        <w:r w:rsidRPr="007745FF">
          <w:rPr>
            <w:rFonts w:ascii="Arial" w:eastAsia="宋体" w:hAnsi="Arial" w:cs="Arial"/>
            <w:color w:val="136EC2"/>
            <w:kern w:val="0"/>
            <w:sz w:val="24"/>
            <w:szCs w:val="24"/>
            <w:u w:val="single"/>
          </w:rPr>
          <w:t>结构</w:t>
        </w:r>
      </w:hyperlink>
      <w:r w:rsidRPr="007745FF">
        <w:rPr>
          <w:rFonts w:ascii="Arial" w:eastAsia="宋体" w:hAnsi="Arial" w:cs="Arial"/>
          <w:color w:val="333333"/>
          <w:kern w:val="0"/>
          <w:sz w:val="24"/>
          <w:szCs w:val="24"/>
        </w:rPr>
        <w:t>与内容技术指导原则》和《抗肿瘤药物上市申请临床数据收集技术指导原则》。</w:t>
      </w:r>
    </w:p>
    <w:p w:rsidR="007745FF" w:rsidRPr="007745FF" w:rsidRDefault="007745FF" w:rsidP="007745FF">
      <w:pPr>
        <w:widowControl/>
        <w:shd w:val="clear" w:color="auto" w:fill="FFFFFF"/>
        <w:spacing w:line="276" w:lineRule="auto"/>
        <w:jc w:val="left"/>
        <w:outlineLvl w:val="1"/>
        <w:rPr>
          <w:rFonts w:ascii="微软雅黑" w:eastAsia="微软雅黑" w:hAnsi="微软雅黑" w:cs="宋体"/>
          <w:color w:val="000000"/>
          <w:kern w:val="0"/>
          <w:sz w:val="24"/>
          <w:szCs w:val="24"/>
        </w:rPr>
      </w:pPr>
      <w:bookmarkStart w:id="15" w:name="6"/>
      <w:bookmarkStart w:id="16" w:name="sub9337671_6"/>
      <w:bookmarkStart w:id="17" w:name="上市要求"/>
      <w:bookmarkEnd w:id="15"/>
      <w:bookmarkEnd w:id="16"/>
      <w:bookmarkEnd w:id="17"/>
      <w:r w:rsidRPr="007745FF">
        <w:rPr>
          <w:rFonts w:ascii="微软雅黑" w:eastAsia="微软雅黑" w:hAnsi="微软雅黑" w:cs="宋体" w:hint="eastAsia"/>
          <w:color w:val="000000"/>
          <w:kern w:val="0"/>
          <w:sz w:val="24"/>
          <w:szCs w:val="24"/>
        </w:rPr>
        <w:t>上市要求</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一般来讲，抗肿瘤药物的上市许可必须基于</w:t>
      </w:r>
      <w:r w:rsidRPr="007745FF">
        <w:rPr>
          <w:rFonts w:ascii="宋体" w:eastAsia="宋体" w:hAnsi="宋体" w:cs="宋体" w:hint="eastAsia"/>
          <w:color w:val="333333"/>
          <w:kern w:val="0"/>
          <w:sz w:val="24"/>
          <w:szCs w:val="24"/>
        </w:rPr>
        <w:t>Ⅲ</w:t>
      </w:r>
      <w:r w:rsidRPr="007745FF">
        <w:rPr>
          <w:rFonts w:ascii="Arial" w:eastAsia="宋体" w:hAnsi="Arial" w:cs="Arial"/>
          <w:color w:val="333333"/>
          <w:kern w:val="0"/>
          <w:sz w:val="24"/>
          <w:szCs w:val="24"/>
        </w:rPr>
        <w:t>期确证性临床研究结果，必须获得试验药物肯定的临床获益结果，必须建立了有利的风险</w:t>
      </w:r>
      <w:r w:rsidRPr="007745FF">
        <w:rPr>
          <w:rFonts w:ascii="Arial" w:eastAsia="宋体" w:hAnsi="Arial" w:cs="Arial"/>
          <w:color w:val="333333"/>
          <w:kern w:val="0"/>
          <w:sz w:val="24"/>
          <w:szCs w:val="24"/>
        </w:rPr>
        <w:t>-</w:t>
      </w:r>
      <w:r w:rsidRPr="007745FF">
        <w:rPr>
          <w:rFonts w:ascii="Arial" w:eastAsia="宋体" w:hAnsi="Arial" w:cs="Arial"/>
          <w:color w:val="333333"/>
          <w:kern w:val="0"/>
          <w:sz w:val="24"/>
          <w:szCs w:val="24"/>
        </w:rPr>
        <w:t>效益关系。</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关于支持药物审批的关键证据，包括临床试验的数量与类型，大多数情况下，至少需有两个充分的且具有良好对照设计的临床试验。某些情况下，单个临床试验证据也可视为足够支持审批，如：一个多中心研究已提供了高度可信的、有效的和论据充分的统计结果，以及重要的临床获益证据，如对生存期的影响，并且</w:t>
      </w:r>
      <w:r w:rsidRPr="007745FF">
        <w:rPr>
          <w:rFonts w:ascii="Arial" w:eastAsia="宋体" w:hAnsi="Arial" w:cs="Arial"/>
          <w:color w:val="333333"/>
          <w:kern w:val="0"/>
          <w:sz w:val="24"/>
          <w:szCs w:val="24"/>
        </w:rPr>
        <w:lastRenderedPageBreak/>
        <w:t>从实践和伦理学的角度，无法进行第二个临床试验验证第一个试验的结果。如果该药品已被批准用于某一恶性肿瘤的某个特定分期治疗，那么在对此类肿瘤不同分期进行治疗时，一个临床试验的证据就足以证明其有效性。</w:t>
      </w:r>
    </w:p>
    <w:p w:rsidR="007745FF" w:rsidRPr="007745FF" w:rsidRDefault="007745FF" w:rsidP="007745FF">
      <w:pPr>
        <w:widowControl/>
        <w:shd w:val="clear" w:color="auto" w:fill="FFFFFF"/>
        <w:spacing w:line="276" w:lineRule="auto"/>
        <w:ind w:firstLine="480"/>
        <w:jc w:val="left"/>
        <w:rPr>
          <w:rFonts w:ascii="Arial" w:eastAsia="宋体" w:hAnsi="Arial" w:cs="Arial"/>
          <w:color w:val="333333"/>
          <w:kern w:val="0"/>
          <w:sz w:val="24"/>
          <w:szCs w:val="24"/>
        </w:rPr>
      </w:pPr>
      <w:r w:rsidRPr="007745FF">
        <w:rPr>
          <w:rFonts w:ascii="Arial" w:eastAsia="宋体" w:hAnsi="Arial" w:cs="Arial"/>
          <w:color w:val="333333"/>
          <w:kern w:val="0"/>
          <w:sz w:val="24"/>
          <w:szCs w:val="24"/>
        </w:rPr>
        <w:t>由于肿瘤疾病的特点，患者急需及早获得有效药物治疗机会，临床试验周期过长，可能导致患者丧失有效治疗的机会。国家对治疗包括恶性肿瘤在内的疑难危重疾病的新药实行特殊审批（参见《特殊审批</w:t>
      </w:r>
      <w:hyperlink r:id="rId88" w:tgtFrame="_blank" w:history="1">
        <w:r w:rsidRPr="007745FF">
          <w:rPr>
            <w:rFonts w:ascii="Arial" w:eastAsia="宋体" w:hAnsi="Arial" w:cs="Arial"/>
            <w:color w:val="136EC2"/>
            <w:kern w:val="0"/>
            <w:sz w:val="24"/>
            <w:szCs w:val="24"/>
            <w:u w:val="single"/>
          </w:rPr>
          <w:t>程序</w:t>
        </w:r>
      </w:hyperlink>
      <w:r w:rsidRPr="007745FF">
        <w:rPr>
          <w:rFonts w:ascii="Arial" w:eastAsia="宋体" w:hAnsi="Arial" w:cs="Arial"/>
          <w:color w:val="333333"/>
          <w:kern w:val="0"/>
          <w:sz w:val="24"/>
          <w:szCs w:val="24"/>
        </w:rPr>
        <w:t>》）。如该适应症目前无有效治疗方法，已获得临床试验数据可以提示试验药物具有明显临床治疗优势，且安全性可以接受时，提交了充分的风险控制措施的前提下，</w:t>
      </w:r>
      <w:r w:rsidRPr="007745FF">
        <w:rPr>
          <w:rFonts w:ascii="Arial" w:eastAsia="宋体" w:hAnsi="Arial" w:cs="Arial"/>
          <w:color w:val="333333"/>
          <w:kern w:val="0"/>
          <w:sz w:val="24"/>
          <w:szCs w:val="24"/>
        </w:rPr>
        <w:t>SFDA</w:t>
      </w:r>
      <w:r w:rsidRPr="007745FF">
        <w:rPr>
          <w:rFonts w:ascii="Arial" w:eastAsia="宋体" w:hAnsi="Arial" w:cs="Arial"/>
          <w:color w:val="333333"/>
          <w:kern w:val="0"/>
          <w:sz w:val="24"/>
          <w:szCs w:val="24"/>
        </w:rPr>
        <w:t>可能考虑提前批准上市，但申请人必须在规定的时间内提交后续完整的研究结果来最终证实其临床获益，定期呈报安全性报告。</w:t>
      </w:r>
    </w:p>
    <w:p w:rsidR="0050532D" w:rsidRPr="007745FF" w:rsidRDefault="0050532D" w:rsidP="007745FF">
      <w:pPr>
        <w:spacing w:line="276" w:lineRule="auto"/>
        <w:rPr>
          <w:sz w:val="24"/>
          <w:szCs w:val="24"/>
        </w:rPr>
      </w:pPr>
    </w:p>
    <w:sectPr w:rsidR="0050532D" w:rsidRPr="007745FF" w:rsidSect="005053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1E" w:rsidRDefault="0013441E" w:rsidP="00125AF9">
      <w:r>
        <w:separator/>
      </w:r>
    </w:p>
  </w:endnote>
  <w:endnote w:type="continuationSeparator" w:id="0">
    <w:p w:rsidR="0013441E" w:rsidRDefault="0013441E" w:rsidP="00125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1E" w:rsidRDefault="0013441E" w:rsidP="00125AF9">
      <w:r>
        <w:separator/>
      </w:r>
    </w:p>
  </w:footnote>
  <w:footnote w:type="continuationSeparator" w:id="0">
    <w:p w:rsidR="0013441E" w:rsidRDefault="0013441E" w:rsidP="00125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926AC"/>
    <w:multiLevelType w:val="multilevel"/>
    <w:tmpl w:val="8B4AF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978CA"/>
    <w:multiLevelType w:val="multilevel"/>
    <w:tmpl w:val="359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1879B2"/>
    <w:multiLevelType w:val="multilevel"/>
    <w:tmpl w:val="C4F2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5FF"/>
    <w:rsid w:val="00125AF9"/>
    <w:rsid w:val="0013441E"/>
    <w:rsid w:val="0050532D"/>
    <w:rsid w:val="00721E66"/>
    <w:rsid w:val="007745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32D"/>
    <w:pPr>
      <w:widowControl w:val="0"/>
      <w:jc w:val="both"/>
    </w:pPr>
  </w:style>
  <w:style w:type="paragraph" w:styleId="1">
    <w:name w:val="heading 1"/>
    <w:basedOn w:val="a"/>
    <w:link w:val="1Char"/>
    <w:uiPriority w:val="9"/>
    <w:qFormat/>
    <w:rsid w:val="007745F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745F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45FF"/>
    <w:rPr>
      <w:rFonts w:ascii="宋体" w:eastAsia="宋体" w:hAnsi="宋体" w:cs="宋体"/>
      <w:b/>
      <w:bCs/>
      <w:kern w:val="36"/>
      <w:sz w:val="48"/>
      <w:szCs w:val="48"/>
    </w:rPr>
  </w:style>
  <w:style w:type="character" w:customStyle="1" w:styleId="2Char">
    <w:name w:val="标题 2 Char"/>
    <w:basedOn w:val="a0"/>
    <w:link w:val="2"/>
    <w:uiPriority w:val="9"/>
    <w:rsid w:val="007745FF"/>
    <w:rPr>
      <w:rFonts w:ascii="宋体" w:eastAsia="宋体" w:hAnsi="宋体" w:cs="宋体"/>
      <w:b/>
      <w:bCs/>
      <w:kern w:val="0"/>
      <w:sz w:val="36"/>
      <w:szCs w:val="36"/>
    </w:rPr>
  </w:style>
  <w:style w:type="character" w:styleId="a3">
    <w:name w:val="Hyperlink"/>
    <w:basedOn w:val="a0"/>
    <w:uiPriority w:val="99"/>
    <w:semiHidden/>
    <w:unhideWhenUsed/>
    <w:rsid w:val="007745FF"/>
    <w:rPr>
      <w:color w:val="0000FF"/>
      <w:u w:val="single"/>
    </w:rPr>
  </w:style>
  <w:style w:type="character" w:styleId="a4">
    <w:name w:val="Strong"/>
    <w:basedOn w:val="a0"/>
    <w:uiPriority w:val="22"/>
    <w:qFormat/>
    <w:rsid w:val="007745FF"/>
    <w:rPr>
      <w:b/>
      <w:bCs/>
    </w:rPr>
  </w:style>
  <w:style w:type="character" w:customStyle="1" w:styleId="index">
    <w:name w:val="index"/>
    <w:basedOn w:val="a0"/>
    <w:rsid w:val="007745FF"/>
  </w:style>
  <w:style w:type="character" w:customStyle="1" w:styleId="text">
    <w:name w:val="text"/>
    <w:basedOn w:val="a0"/>
    <w:rsid w:val="007745FF"/>
  </w:style>
  <w:style w:type="paragraph" w:styleId="a5">
    <w:name w:val="header"/>
    <w:basedOn w:val="a"/>
    <w:link w:val="Char"/>
    <w:uiPriority w:val="99"/>
    <w:semiHidden/>
    <w:unhideWhenUsed/>
    <w:rsid w:val="00125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25AF9"/>
    <w:rPr>
      <w:sz w:val="18"/>
      <w:szCs w:val="18"/>
    </w:rPr>
  </w:style>
  <w:style w:type="paragraph" w:styleId="a6">
    <w:name w:val="footer"/>
    <w:basedOn w:val="a"/>
    <w:link w:val="Char0"/>
    <w:uiPriority w:val="99"/>
    <w:semiHidden/>
    <w:unhideWhenUsed/>
    <w:rsid w:val="00125AF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25AF9"/>
    <w:rPr>
      <w:sz w:val="18"/>
      <w:szCs w:val="18"/>
    </w:rPr>
  </w:style>
</w:styles>
</file>

<file path=word/webSettings.xml><?xml version="1.0" encoding="utf-8"?>
<w:webSettings xmlns:r="http://schemas.openxmlformats.org/officeDocument/2006/relationships" xmlns:w="http://schemas.openxmlformats.org/wordprocessingml/2006/main">
  <w:divs>
    <w:div w:id="350961287">
      <w:bodyDiv w:val="1"/>
      <w:marLeft w:val="0"/>
      <w:marRight w:val="0"/>
      <w:marTop w:val="0"/>
      <w:marBottom w:val="0"/>
      <w:divBdr>
        <w:top w:val="none" w:sz="0" w:space="0" w:color="auto"/>
        <w:left w:val="none" w:sz="0" w:space="0" w:color="auto"/>
        <w:bottom w:val="none" w:sz="0" w:space="0" w:color="auto"/>
        <w:right w:val="none" w:sz="0" w:space="0" w:color="auto"/>
      </w:divBdr>
      <w:divsChild>
        <w:div w:id="686252353">
          <w:marLeft w:val="0"/>
          <w:marRight w:val="0"/>
          <w:marTop w:val="150"/>
          <w:marBottom w:val="150"/>
          <w:divBdr>
            <w:top w:val="none" w:sz="0" w:space="0" w:color="auto"/>
            <w:left w:val="none" w:sz="0" w:space="0" w:color="auto"/>
            <w:bottom w:val="none" w:sz="0" w:space="0" w:color="auto"/>
            <w:right w:val="none" w:sz="0" w:space="0" w:color="auto"/>
          </w:divBdr>
        </w:div>
        <w:div w:id="194779463">
          <w:marLeft w:val="0"/>
          <w:marRight w:val="0"/>
          <w:marTop w:val="0"/>
          <w:marBottom w:val="225"/>
          <w:divBdr>
            <w:top w:val="none" w:sz="0" w:space="0" w:color="auto"/>
            <w:left w:val="none" w:sz="0" w:space="0" w:color="auto"/>
            <w:bottom w:val="none" w:sz="0" w:space="0" w:color="auto"/>
            <w:right w:val="none" w:sz="0" w:space="0" w:color="auto"/>
          </w:divBdr>
          <w:divsChild>
            <w:div w:id="830756528">
              <w:marLeft w:val="0"/>
              <w:marRight w:val="0"/>
              <w:marTop w:val="0"/>
              <w:marBottom w:val="225"/>
              <w:divBdr>
                <w:top w:val="none" w:sz="0" w:space="0" w:color="auto"/>
                <w:left w:val="none" w:sz="0" w:space="0" w:color="auto"/>
                <w:bottom w:val="none" w:sz="0" w:space="0" w:color="auto"/>
                <w:right w:val="none" w:sz="0" w:space="0" w:color="auto"/>
              </w:divBdr>
            </w:div>
            <w:div w:id="1053188834">
              <w:marLeft w:val="0"/>
              <w:marRight w:val="0"/>
              <w:marTop w:val="0"/>
              <w:marBottom w:val="225"/>
              <w:divBdr>
                <w:top w:val="none" w:sz="0" w:space="0" w:color="auto"/>
                <w:left w:val="none" w:sz="0" w:space="0" w:color="auto"/>
                <w:bottom w:val="none" w:sz="0" w:space="0" w:color="auto"/>
                <w:right w:val="none" w:sz="0" w:space="0" w:color="auto"/>
              </w:divBdr>
            </w:div>
          </w:divsChild>
        </w:div>
        <w:div w:id="930511562">
          <w:marLeft w:val="0"/>
          <w:marRight w:val="0"/>
          <w:marTop w:val="300"/>
          <w:marBottom w:val="525"/>
          <w:divBdr>
            <w:top w:val="none" w:sz="0" w:space="0" w:color="auto"/>
            <w:left w:val="none" w:sz="0" w:space="0" w:color="auto"/>
            <w:bottom w:val="none" w:sz="0" w:space="0" w:color="auto"/>
            <w:right w:val="none" w:sz="0" w:space="0" w:color="auto"/>
          </w:divBdr>
        </w:div>
        <w:div w:id="228998634">
          <w:marLeft w:val="0"/>
          <w:marRight w:val="0"/>
          <w:marTop w:val="525"/>
          <w:marBottom w:val="525"/>
          <w:divBdr>
            <w:top w:val="none" w:sz="0" w:space="0" w:color="auto"/>
            <w:left w:val="none" w:sz="0" w:space="0" w:color="auto"/>
            <w:bottom w:val="none" w:sz="0" w:space="0" w:color="auto"/>
            <w:right w:val="none" w:sz="0" w:space="0" w:color="auto"/>
          </w:divBdr>
          <w:divsChild>
            <w:div w:id="2139833042">
              <w:marLeft w:val="0"/>
              <w:marRight w:val="0"/>
              <w:marTop w:val="0"/>
              <w:marBottom w:val="0"/>
              <w:divBdr>
                <w:top w:val="single" w:sz="6" w:space="0" w:color="DDDDDD"/>
                <w:left w:val="none" w:sz="0" w:space="0" w:color="auto"/>
                <w:bottom w:val="single" w:sz="6" w:space="0" w:color="DDDDDD"/>
                <w:right w:val="none" w:sz="0" w:space="0" w:color="auto"/>
              </w:divBdr>
              <w:divsChild>
                <w:div w:id="1601452693">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317104927">
          <w:marLeft w:val="-450"/>
          <w:marRight w:val="0"/>
          <w:marTop w:val="525"/>
          <w:marBottom w:val="225"/>
          <w:divBdr>
            <w:top w:val="none" w:sz="0" w:space="0" w:color="auto"/>
            <w:left w:val="single" w:sz="48" w:space="0" w:color="4F9CEE"/>
            <w:bottom w:val="none" w:sz="0" w:space="0" w:color="auto"/>
            <w:right w:val="none" w:sz="0" w:space="0" w:color="auto"/>
          </w:divBdr>
        </w:div>
        <w:div w:id="2025402305">
          <w:marLeft w:val="0"/>
          <w:marRight w:val="0"/>
          <w:marTop w:val="0"/>
          <w:marBottom w:val="225"/>
          <w:divBdr>
            <w:top w:val="none" w:sz="0" w:space="0" w:color="auto"/>
            <w:left w:val="none" w:sz="0" w:space="0" w:color="auto"/>
            <w:bottom w:val="none" w:sz="0" w:space="0" w:color="auto"/>
            <w:right w:val="none" w:sz="0" w:space="0" w:color="auto"/>
          </w:divBdr>
        </w:div>
        <w:div w:id="662971058">
          <w:marLeft w:val="0"/>
          <w:marRight w:val="0"/>
          <w:marTop w:val="0"/>
          <w:marBottom w:val="225"/>
          <w:divBdr>
            <w:top w:val="none" w:sz="0" w:space="0" w:color="auto"/>
            <w:left w:val="none" w:sz="0" w:space="0" w:color="auto"/>
            <w:bottom w:val="none" w:sz="0" w:space="0" w:color="auto"/>
            <w:right w:val="none" w:sz="0" w:space="0" w:color="auto"/>
          </w:divBdr>
        </w:div>
        <w:div w:id="391852130">
          <w:marLeft w:val="-450"/>
          <w:marRight w:val="0"/>
          <w:marTop w:val="525"/>
          <w:marBottom w:val="225"/>
          <w:divBdr>
            <w:top w:val="none" w:sz="0" w:space="0" w:color="auto"/>
            <w:left w:val="single" w:sz="48" w:space="0" w:color="4F9CEE"/>
            <w:bottom w:val="none" w:sz="0" w:space="0" w:color="auto"/>
            <w:right w:val="none" w:sz="0" w:space="0" w:color="auto"/>
          </w:divBdr>
        </w:div>
        <w:div w:id="1083987993">
          <w:marLeft w:val="0"/>
          <w:marRight w:val="0"/>
          <w:marTop w:val="0"/>
          <w:marBottom w:val="225"/>
          <w:divBdr>
            <w:top w:val="none" w:sz="0" w:space="0" w:color="auto"/>
            <w:left w:val="none" w:sz="0" w:space="0" w:color="auto"/>
            <w:bottom w:val="none" w:sz="0" w:space="0" w:color="auto"/>
            <w:right w:val="none" w:sz="0" w:space="0" w:color="auto"/>
          </w:divBdr>
        </w:div>
        <w:div w:id="1502354379">
          <w:marLeft w:val="0"/>
          <w:marRight w:val="0"/>
          <w:marTop w:val="0"/>
          <w:marBottom w:val="225"/>
          <w:divBdr>
            <w:top w:val="none" w:sz="0" w:space="0" w:color="auto"/>
            <w:left w:val="none" w:sz="0" w:space="0" w:color="auto"/>
            <w:bottom w:val="none" w:sz="0" w:space="0" w:color="auto"/>
            <w:right w:val="none" w:sz="0" w:space="0" w:color="auto"/>
          </w:divBdr>
        </w:div>
        <w:div w:id="940338750">
          <w:marLeft w:val="0"/>
          <w:marRight w:val="0"/>
          <w:marTop w:val="0"/>
          <w:marBottom w:val="225"/>
          <w:divBdr>
            <w:top w:val="none" w:sz="0" w:space="0" w:color="auto"/>
            <w:left w:val="none" w:sz="0" w:space="0" w:color="auto"/>
            <w:bottom w:val="none" w:sz="0" w:space="0" w:color="auto"/>
            <w:right w:val="none" w:sz="0" w:space="0" w:color="auto"/>
          </w:divBdr>
        </w:div>
        <w:div w:id="1656107809">
          <w:marLeft w:val="0"/>
          <w:marRight w:val="0"/>
          <w:marTop w:val="0"/>
          <w:marBottom w:val="225"/>
          <w:divBdr>
            <w:top w:val="none" w:sz="0" w:space="0" w:color="auto"/>
            <w:left w:val="none" w:sz="0" w:space="0" w:color="auto"/>
            <w:bottom w:val="none" w:sz="0" w:space="0" w:color="auto"/>
            <w:right w:val="none" w:sz="0" w:space="0" w:color="auto"/>
          </w:divBdr>
        </w:div>
        <w:div w:id="305283921">
          <w:marLeft w:val="-450"/>
          <w:marRight w:val="0"/>
          <w:marTop w:val="525"/>
          <w:marBottom w:val="225"/>
          <w:divBdr>
            <w:top w:val="none" w:sz="0" w:space="0" w:color="auto"/>
            <w:left w:val="single" w:sz="48" w:space="0" w:color="4F9CEE"/>
            <w:bottom w:val="none" w:sz="0" w:space="0" w:color="auto"/>
            <w:right w:val="none" w:sz="0" w:space="0" w:color="auto"/>
          </w:divBdr>
        </w:div>
        <w:div w:id="497617717">
          <w:marLeft w:val="0"/>
          <w:marRight w:val="0"/>
          <w:marTop w:val="0"/>
          <w:marBottom w:val="225"/>
          <w:divBdr>
            <w:top w:val="none" w:sz="0" w:space="0" w:color="auto"/>
            <w:left w:val="none" w:sz="0" w:space="0" w:color="auto"/>
            <w:bottom w:val="none" w:sz="0" w:space="0" w:color="auto"/>
            <w:right w:val="none" w:sz="0" w:space="0" w:color="auto"/>
          </w:divBdr>
        </w:div>
        <w:div w:id="117989977">
          <w:marLeft w:val="0"/>
          <w:marRight w:val="0"/>
          <w:marTop w:val="0"/>
          <w:marBottom w:val="225"/>
          <w:divBdr>
            <w:top w:val="none" w:sz="0" w:space="0" w:color="auto"/>
            <w:left w:val="none" w:sz="0" w:space="0" w:color="auto"/>
            <w:bottom w:val="none" w:sz="0" w:space="0" w:color="auto"/>
            <w:right w:val="none" w:sz="0" w:space="0" w:color="auto"/>
          </w:divBdr>
        </w:div>
        <w:div w:id="386729799">
          <w:marLeft w:val="0"/>
          <w:marRight w:val="0"/>
          <w:marTop w:val="0"/>
          <w:marBottom w:val="225"/>
          <w:divBdr>
            <w:top w:val="none" w:sz="0" w:space="0" w:color="auto"/>
            <w:left w:val="none" w:sz="0" w:space="0" w:color="auto"/>
            <w:bottom w:val="none" w:sz="0" w:space="0" w:color="auto"/>
            <w:right w:val="none" w:sz="0" w:space="0" w:color="auto"/>
          </w:divBdr>
        </w:div>
        <w:div w:id="799617316">
          <w:marLeft w:val="0"/>
          <w:marRight w:val="0"/>
          <w:marTop w:val="0"/>
          <w:marBottom w:val="225"/>
          <w:divBdr>
            <w:top w:val="none" w:sz="0" w:space="0" w:color="auto"/>
            <w:left w:val="none" w:sz="0" w:space="0" w:color="auto"/>
            <w:bottom w:val="none" w:sz="0" w:space="0" w:color="auto"/>
            <w:right w:val="none" w:sz="0" w:space="0" w:color="auto"/>
          </w:divBdr>
        </w:div>
        <w:div w:id="1415323031">
          <w:marLeft w:val="0"/>
          <w:marRight w:val="0"/>
          <w:marTop w:val="0"/>
          <w:marBottom w:val="225"/>
          <w:divBdr>
            <w:top w:val="none" w:sz="0" w:space="0" w:color="auto"/>
            <w:left w:val="none" w:sz="0" w:space="0" w:color="auto"/>
            <w:bottom w:val="none" w:sz="0" w:space="0" w:color="auto"/>
            <w:right w:val="none" w:sz="0" w:space="0" w:color="auto"/>
          </w:divBdr>
        </w:div>
        <w:div w:id="854073319">
          <w:marLeft w:val="0"/>
          <w:marRight w:val="0"/>
          <w:marTop w:val="0"/>
          <w:marBottom w:val="225"/>
          <w:divBdr>
            <w:top w:val="none" w:sz="0" w:space="0" w:color="auto"/>
            <w:left w:val="none" w:sz="0" w:space="0" w:color="auto"/>
            <w:bottom w:val="none" w:sz="0" w:space="0" w:color="auto"/>
            <w:right w:val="none" w:sz="0" w:space="0" w:color="auto"/>
          </w:divBdr>
        </w:div>
        <w:div w:id="1988969156">
          <w:marLeft w:val="0"/>
          <w:marRight w:val="0"/>
          <w:marTop w:val="0"/>
          <w:marBottom w:val="225"/>
          <w:divBdr>
            <w:top w:val="none" w:sz="0" w:space="0" w:color="auto"/>
            <w:left w:val="none" w:sz="0" w:space="0" w:color="auto"/>
            <w:bottom w:val="none" w:sz="0" w:space="0" w:color="auto"/>
            <w:right w:val="none" w:sz="0" w:space="0" w:color="auto"/>
          </w:divBdr>
        </w:div>
        <w:div w:id="42095197">
          <w:marLeft w:val="0"/>
          <w:marRight w:val="0"/>
          <w:marTop w:val="0"/>
          <w:marBottom w:val="225"/>
          <w:divBdr>
            <w:top w:val="none" w:sz="0" w:space="0" w:color="auto"/>
            <w:left w:val="none" w:sz="0" w:space="0" w:color="auto"/>
            <w:bottom w:val="none" w:sz="0" w:space="0" w:color="auto"/>
            <w:right w:val="none" w:sz="0" w:space="0" w:color="auto"/>
          </w:divBdr>
        </w:div>
        <w:div w:id="1817145571">
          <w:marLeft w:val="0"/>
          <w:marRight w:val="0"/>
          <w:marTop w:val="0"/>
          <w:marBottom w:val="225"/>
          <w:divBdr>
            <w:top w:val="none" w:sz="0" w:space="0" w:color="auto"/>
            <w:left w:val="none" w:sz="0" w:space="0" w:color="auto"/>
            <w:bottom w:val="none" w:sz="0" w:space="0" w:color="auto"/>
            <w:right w:val="none" w:sz="0" w:space="0" w:color="auto"/>
          </w:divBdr>
        </w:div>
        <w:div w:id="1447501440">
          <w:marLeft w:val="0"/>
          <w:marRight w:val="0"/>
          <w:marTop w:val="0"/>
          <w:marBottom w:val="225"/>
          <w:divBdr>
            <w:top w:val="none" w:sz="0" w:space="0" w:color="auto"/>
            <w:left w:val="none" w:sz="0" w:space="0" w:color="auto"/>
            <w:bottom w:val="none" w:sz="0" w:space="0" w:color="auto"/>
            <w:right w:val="none" w:sz="0" w:space="0" w:color="auto"/>
          </w:divBdr>
        </w:div>
        <w:div w:id="894966882">
          <w:marLeft w:val="0"/>
          <w:marRight w:val="0"/>
          <w:marTop w:val="0"/>
          <w:marBottom w:val="225"/>
          <w:divBdr>
            <w:top w:val="none" w:sz="0" w:space="0" w:color="auto"/>
            <w:left w:val="none" w:sz="0" w:space="0" w:color="auto"/>
            <w:bottom w:val="none" w:sz="0" w:space="0" w:color="auto"/>
            <w:right w:val="none" w:sz="0" w:space="0" w:color="auto"/>
          </w:divBdr>
        </w:div>
        <w:div w:id="2055346185">
          <w:marLeft w:val="0"/>
          <w:marRight w:val="0"/>
          <w:marTop w:val="0"/>
          <w:marBottom w:val="225"/>
          <w:divBdr>
            <w:top w:val="none" w:sz="0" w:space="0" w:color="auto"/>
            <w:left w:val="none" w:sz="0" w:space="0" w:color="auto"/>
            <w:bottom w:val="none" w:sz="0" w:space="0" w:color="auto"/>
            <w:right w:val="none" w:sz="0" w:space="0" w:color="auto"/>
          </w:divBdr>
        </w:div>
        <w:div w:id="442237614">
          <w:marLeft w:val="0"/>
          <w:marRight w:val="0"/>
          <w:marTop w:val="0"/>
          <w:marBottom w:val="225"/>
          <w:divBdr>
            <w:top w:val="none" w:sz="0" w:space="0" w:color="auto"/>
            <w:left w:val="none" w:sz="0" w:space="0" w:color="auto"/>
            <w:bottom w:val="none" w:sz="0" w:space="0" w:color="auto"/>
            <w:right w:val="none" w:sz="0" w:space="0" w:color="auto"/>
          </w:divBdr>
        </w:div>
        <w:div w:id="1749423646">
          <w:marLeft w:val="0"/>
          <w:marRight w:val="0"/>
          <w:marTop w:val="0"/>
          <w:marBottom w:val="225"/>
          <w:divBdr>
            <w:top w:val="none" w:sz="0" w:space="0" w:color="auto"/>
            <w:left w:val="none" w:sz="0" w:space="0" w:color="auto"/>
            <w:bottom w:val="none" w:sz="0" w:space="0" w:color="auto"/>
            <w:right w:val="none" w:sz="0" w:space="0" w:color="auto"/>
          </w:divBdr>
        </w:div>
        <w:div w:id="415786134">
          <w:marLeft w:val="0"/>
          <w:marRight w:val="0"/>
          <w:marTop w:val="0"/>
          <w:marBottom w:val="225"/>
          <w:divBdr>
            <w:top w:val="none" w:sz="0" w:space="0" w:color="auto"/>
            <w:left w:val="none" w:sz="0" w:space="0" w:color="auto"/>
            <w:bottom w:val="none" w:sz="0" w:space="0" w:color="auto"/>
            <w:right w:val="none" w:sz="0" w:space="0" w:color="auto"/>
          </w:divBdr>
        </w:div>
        <w:div w:id="1919636700">
          <w:marLeft w:val="0"/>
          <w:marRight w:val="0"/>
          <w:marTop w:val="0"/>
          <w:marBottom w:val="225"/>
          <w:divBdr>
            <w:top w:val="none" w:sz="0" w:space="0" w:color="auto"/>
            <w:left w:val="none" w:sz="0" w:space="0" w:color="auto"/>
            <w:bottom w:val="none" w:sz="0" w:space="0" w:color="auto"/>
            <w:right w:val="none" w:sz="0" w:space="0" w:color="auto"/>
          </w:divBdr>
        </w:div>
        <w:div w:id="440106264">
          <w:marLeft w:val="-450"/>
          <w:marRight w:val="0"/>
          <w:marTop w:val="525"/>
          <w:marBottom w:val="225"/>
          <w:divBdr>
            <w:top w:val="none" w:sz="0" w:space="0" w:color="auto"/>
            <w:left w:val="single" w:sz="48" w:space="0" w:color="4F9CEE"/>
            <w:bottom w:val="none" w:sz="0" w:space="0" w:color="auto"/>
            <w:right w:val="none" w:sz="0" w:space="0" w:color="auto"/>
          </w:divBdr>
        </w:div>
        <w:div w:id="981735097">
          <w:marLeft w:val="0"/>
          <w:marRight w:val="0"/>
          <w:marTop w:val="0"/>
          <w:marBottom w:val="225"/>
          <w:divBdr>
            <w:top w:val="none" w:sz="0" w:space="0" w:color="auto"/>
            <w:left w:val="none" w:sz="0" w:space="0" w:color="auto"/>
            <w:bottom w:val="none" w:sz="0" w:space="0" w:color="auto"/>
            <w:right w:val="none" w:sz="0" w:space="0" w:color="auto"/>
          </w:divBdr>
        </w:div>
        <w:div w:id="1471248597">
          <w:marLeft w:val="0"/>
          <w:marRight w:val="0"/>
          <w:marTop w:val="0"/>
          <w:marBottom w:val="225"/>
          <w:divBdr>
            <w:top w:val="none" w:sz="0" w:space="0" w:color="auto"/>
            <w:left w:val="none" w:sz="0" w:space="0" w:color="auto"/>
            <w:bottom w:val="none" w:sz="0" w:space="0" w:color="auto"/>
            <w:right w:val="none" w:sz="0" w:space="0" w:color="auto"/>
          </w:divBdr>
        </w:div>
        <w:div w:id="933511756">
          <w:marLeft w:val="0"/>
          <w:marRight w:val="0"/>
          <w:marTop w:val="0"/>
          <w:marBottom w:val="225"/>
          <w:divBdr>
            <w:top w:val="none" w:sz="0" w:space="0" w:color="auto"/>
            <w:left w:val="none" w:sz="0" w:space="0" w:color="auto"/>
            <w:bottom w:val="none" w:sz="0" w:space="0" w:color="auto"/>
            <w:right w:val="none" w:sz="0" w:space="0" w:color="auto"/>
          </w:divBdr>
        </w:div>
        <w:div w:id="72632613">
          <w:marLeft w:val="0"/>
          <w:marRight w:val="0"/>
          <w:marTop w:val="0"/>
          <w:marBottom w:val="225"/>
          <w:divBdr>
            <w:top w:val="none" w:sz="0" w:space="0" w:color="auto"/>
            <w:left w:val="none" w:sz="0" w:space="0" w:color="auto"/>
            <w:bottom w:val="none" w:sz="0" w:space="0" w:color="auto"/>
            <w:right w:val="none" w:sz="0" w:space="0" w:color="auto"/>
          </w:divBdr>
        </w:div>
        <w:div w:id="465247813">
          <w:marLeft w:val="0"/>
          <w:marRight w:val="0"/>
          <w:marTop w:val="0"/>
          <w:marBottom w:val="225"/>
          <w:divBdr>
            <w:top w:val="none" w:sz="0" w:space="0" w:color="auto"/>
            <w:left w:val="none" w:sz="0" w:space="0" w:color="auto"/>
            <w:bottom w:val="none" w:sz="0" w:space="0" w:color="auto"/>
            <w:right w:val="none" w:sz="0" w:space="0" w:color="auto"/>
          </w:divBdr>
        </w:div>
        <w:div w:id="1347436768">
          <w:marLeft w:val="0"/>
          <w:marRight w:val="0"/>
          <w:marTop w:val="0"/>
          <w:marBottom w:val="225"/>
          <w:divBdr>
            <w:top w:val="none" w:sz="0" w:space="0" w:color="auto"/>
            <w:left w:val="none" w:sz="0" w:space="0" w:color="auto"/>
            <w:bottom w:val="none" w:sz="0" w:space="0" w:color="auto"/>
            <w:right w:val="none" w:sz="0" w:space="0" w:color="auto"/>
          </w:divBdr>
        </w:div>
        <w:div w:id="1601832808">
          <w:marLeft w:val="0"/>
          <w:marRight w:val="0"/>
          <w:marTop w:val="0"/>
          <w:marBottom w:val="225"/>
          <w:divBdr>
            <w:top w:val="none" w:sz="0" w:space="0" w:color="auto"/>
            <w:left w:val="none" w:sz="0" w:space="0" w:color="auto"/>
            <w:bottom w:val="none" w:sz="0" w:space="0" w:color="auto"/>
            <w:right w:val="none" w:sz="0" w:space="0" w:color="auto"/>
          </w:divBdr>
        </w:div>
        <w:div w:id="473568901">
          <w:marLeft w:val="0"/>
          <w:marRight w:val="0"/>
          <w:marTop w:val="0"/>
          <w:marBottom w:val="225"/>
          <w:divBdr>
            <w:top w:val="none" w:sz="0" w:space="0" w:color="auto"/>
            <w:left w:val="none" w:sz="0" w:space="0" w:color="auto"/>
            <w:bottom w:val="none" w:sz="0" w:space="0" w:color="auto"/>
            <w:right w:val="none" w:sz="0" w:space="0" w:color="auto"/>
          </w:divBdr>
        </w:div>
        <w:div w:id="1883859410">
          <w:marLeft w:val="0"/>
          <w:marRight w:val="0"/>
          <w:marTop w:val="0"/>
          <w:marBottom w:val="225"/>
          <w:divBdr>
            <w:top w:val="none" w:sz="0" w:space="0" w:color="auto"/>
            <w:left w:val="none" w:sz="0" w:space="0" w:color="auto"/>
            <w:bottom w:val="none" w:sz="0" w:space="0" w:color="auto"/>
            <w:right w:val="none" w:sz="0" w:space="0" w:color="auto"/>
          </w:divBdr>
        </w:div>
        <w:div w:id="1146823556">
          <w:marLeft w:val="0"/>
          <w:marRight w:val="0"/>
          <w:marTop w:val="0"/>
          <w:marBottom w:val="225"/>
          <w:divBdr>
            <w:top w:val="none" w:sz="0" w:space="0" w:color="auto"/>
            <w:left w:val="none" w:sz="0" w:space="0" w:color="auto"/>
            <w:bottom w:val="none" w:sz="0" w:space="0" w:color="auto"/>
            <w:right w:val="none" w:sz="0" w:space="0" w:color="auto"/>
          </w:divBdr>
        </w:div>
        <w:div w:id="261498858">
          <w:marLeft w:val="0"/>
          <w:marRight w:val="0"/>
          <w:marTop w:val="0"/>
          <w:marBottom w:val="225"/>
          <w:divBdr>
            <w:top w:val="none" w:sz="0" w:space="0" w:color="auto"/>
            <w:left w:val="none" w:sz="0" w:space="0" w:color="auto"/>
            <w:bottom w:val="none" w:sz="0" w:space="0" w:color="auto"/>
            <w:right w:val="none" w:sz="0" w:space="0" w:color="auto"/>
          </w:divBdr>
        </w:div>
        <w:div w:id="1255213878">
          <w:marLeft w:val="0"/>
          <w:marRight w:val="0"/>
          <w:marTop w:val="0"/>
          <w:marBottom w:val="225"/>
          <w:divBdr>
            <w:top w:val="none" w:sz="0" w:space="0" w:color="auto"/>
            <w:left w:val="none" w:sz="0" w:space="0" w:color="auto"/>
            <w:bottom w:val="none" w:sz="0" w:space="0" w:color="auto"/>
            <w:right w:val="none" w:sz="0" w:space="0" w:color="auto"/>
          </w:divBdr>
        </w:div>
        <w:div w:id="300578934">
          <w:marLeft w:val="0"/>
          <w:marRight w:val="0"/>
          <w:marTop w:val="0"/>
          <w:marBottom w:val="225"/>
          <w:divBdr>
            <w:top w:val="none" w:sz="0" w:space="0" w:color="auto"/>
            <w:left w:val="none" w:sz="0" w:space="0" w:color="auto"/>
            <w:bottom w:val="none" w:sz="0" w:space="0" w:color="auto"/>
            <w:right w:val="none" w:sz="0" w:space="0" w:color="auto"/>
          </w:divBdr>
        </w:div>
        <w:div w:id="2006936669">
          <w:marLeft w:val="0"/>
          <w:marRight w:val="0"/>
          <w:marTop w:val="0"/>
          <w:marBottom w:val="225"/>
          <w:divBdr>
            <w:top w:val="none" w:sz="0" w:space="0" w:color="auto"/>
            <w:left w:val="none" w:sz="0" w:space="0" w:color="auto"/>
            <w:bottom w:val="none" w:sz="0" w:space="0" w:color="auto"/>
            <w:right w:val="none" w:sz="0" w:space="0" w:color="auto"/>
          </w:divBdr>
        </w:div>
        <w:div w:id="1503082182">
          <w:marLeft w:val="0"/>
          <w:marRight w:val="0"/>
          <w:marTop w:val="0"/>
          <w:marBottom w:val="225"/>
          <w:divBdr>
            <w:top w:val="none" w:sz="0" w:space="0" w:color="auto"/>
            <w:left w:val="none" w:sz="0" w:space="0" w:color="auto"/>
            <w:bottom w:val="none" w:sz="0" w:space="0" w:color="auto"/>
            <w:right w:val="none" w:sz="0" w:space="0" w:color="auto"/>
          </w:divBdr>
        </w:div>
        <w:div w:id="1633630726">
          <w:marLeft w:val="0"/>
          <w:marRight w:val="0"/>
          <w:marTop w:val="0"/>
          <w:marBottom w:val="225"/>
          <w:divBdr>
            <w:top w:val="none" w:sz="0" w:space="0" w:color="auto"/>
            <w:left w:val="none" w:sz="0" w:space="0" w:color="auto"/>
            <w:bottom w:val="none" w:sz="0" w:space="0" w:color="auto"/>
            <w:right w:val="none" w:sz="0" w:space="0" w:color="auto"/>
          </w:divBdr>
        </w:div>
        <w:div w:id="562134333">
          <w:marLeft w:val="0"/>
          <w:marRight w:val="0"/>
          <w:marTop w:val="0"/>
          <w:marBottom w:val="225"/>
          <w:divBdr>
            <w:top w:val="none" w:sz="0" w:space="0" w:color="auto"/>
            <w:left w:val="none" w:sz="0" w:space="0" w:color="auto"/>
            <w:bottom w:val="none" w:sz="0" w:space="0" w:color="auto"/>
            <w:right w:val="none" w:sz="0" w:space="0" w:color="auto"/>
          </w:divBdr>
        </w:div>
        <w:div w:id="974800686">
          <w:marLeft w:val="0"/>
          <w:marRight w:val="0"/>
          <w:marTop w:val="0"/>
          <w:marBottom w:val="225"/>
          <w:divBdr>
            <w:top w:val="none" w:sz="0" w:space="0" w:color="auto"/>
            <w:left w:val="none" w:sz="0" w:space="0" w:color="auto"/>
            <w:bottom w:val="none" w:sz="0" w:space="0" w:color="auto"/>
            <w:right w:val="none" w:sz="0" w:space="0" w:color="auto"/>
          </w:divBdr>
        </w:div>
        <w:div w:id="1453481089">
          <w:marLeft w:val="0"/>
          <w:marRight w:val="0"/>
          <w:marTop w:val="0"/>
          <w:marBottom w:val="225"/>
          <w:divBdr>
            <w:top w:val="none" w:sz="0" w:space="0" w:color="auto"/>
            <w:left w:val="none" w:sz="0" w:space="0" w:color="auto"/>
            <w:bottom w:val="none" w:sz="0" w:space="0" w:color="auto"/>
            <w:right w:val="none" w:sz="0" w:space="0" w:color="auto"/>
          </w:divBdr>
        </w:div>
        <w:div w:id="1678188126">
          <w:marLeft w:val="0"/>
          <w:marRight w:val="0"/>
          <w:marTop w:val="0"/>
          <w:marBottom w:val="225"/>
          <w:divBdr>
            <w:top w:val="none" w:sz="0" w:space="0" w:color="auto"/>
            <w:left w:val="none" w:sz="0" w:space="0" w:color="auto"/>
            <w:bottom w:val="none" w:sz="0" w:space="0" w:color="auto"/>
            <w:right w:val="none" w:sz="0" w:space="0" w:color="auto"/>
          </w:divBdr>
        </w:div>
        <w:div w:id="87502417">
          <w:marLeft w:val="0"/>
          <w:marRight w:val="0"/>
          <w:marTop w:val="0"/>
          <w:marBottom w:val="225"/>
          <w:divBdr>
            <w:top w:val="none" w:sz="0" w:space="0" w:color="auto"/>
            <w:left w:val="none" w:sz="0" w:space="0" w:color="auto"/>
            <w:bottom w:val="none" w:sz="0" w:space="0" w:color="auto"/>
            <w:right w:val="none" w:sz="0" w:space="0" w:color="auto"/>
          </w:divBdr>
        </w:div>
        <w:div w:id="1971784895">
          <w:marLeft w:val="0"/>
          <w:marRight w:val="0"/>
          <w:marTop w:val="0"/>
          <w:marBottom w:val="225"/>
          <w:divBdr>
            <w:top w:val="none" w:sz="0" w:space="0" w:color="auto"/>
            <w:left w:val="none" w:sz="0" w:space="0" w:color="auto"/>
            <w:bottom w:val="none" w:sz="0" w:space="0" w:color="auto"/>
            <w:right w:val="none" w:sz="0" w:space="0" w:color="auto"/>
          </w:divBdr>
        </w:div>
        <w:div w:id="235671163">
          <w:marLeft w:val="0"/>
          <w:marRight w:val="0"/>
          <w:marTop w:val="0"/>
          <w:marBottom w:val="225"/>
          <w:divBdr>
            <w:top w:val="none" w:sz="0" w:space="0" w:color="auto"/>
            <w:left w:val="none" w:sz="0" w:space="0" w:color="auto"/>
            <w:bottom w:val="none" w:sz="0" w:space="0" w:color="auto"/>
            <w:right w:val="none" w:sz="0" w:space="0" w:color="auto"/>
          </w:divBdr>
        </w:div>
        <w:div w:id="392657191">
          <w:marLeft w:val="0"/>
          <w:marRight w:val="0"/>
          <w:marTop w:val="0"/>
          <w:marBottom w:val="225"/>
          <w:divBdr>
            <w:top w:val="none" w:sz="0" w:space="0" w:color="auto"/>
            <w:left w:val="none" w:sz="0" w:space="0" w:color="auto"/>
            <w:bottom w:val="none" w:sz="0" w:space="0" w:color="auto"/>
            <w:right w:val="none" w:sz="0" w:space="0" w:color="auto"/>
          </w:divBdr>
        </w:div>
        <w:div w:id="2086488156">
          <w:marLeft w:val="0"/>
          <w:marRight w:val="0"/>
          <w:marTop w:val="0"/>
          <w:marBottom w:val="225"/>
          <w:divBdr>
            <w:top w:val="none" w:sz="0" w:space="0" w:color="auto"/>
            <w:left w:val="none" w:sz="0" w:space="0" w:color="auto"/>
            <w:bottom w:val="none" w:sz="0" w:space="0" w:color="auto"/>
            <w:right w:val="none" w:sz="0" w:space="0" w:color="auto"/>
          </w:divBdr>
        </w:div>
        <w:div w:id="484132589">
          <w:marLeft w:val="0"/>
          <w:marRight w:val="0"/>
          <w:marTop w:val="0"/>
          <w:marBottom w:val="225"/>
          <w:divBdr>
            <w:top w:val="none" w:sz="0" w:space="0" w:color="auto"/>
            <w:left w:val="none" w:sz="0" w:space="0" w:color="auto"/>
            <w:bottom w:val="none" w:sz="0" w:space="0" w:color="auto"/>
            <w:right w:val="none" w:sz="0" w:space="0" w:color="auto"/>
          </w:divBdr>
        </w:div>
        <w:div w:id="30541866">
          <w:marLeft w:val="0"/>
          <w:marRight w:val="0"/>
          <w:marTop w:val="0"/>
          <w:marBottom w:val="225"/>
          <w:divBdr>
            <w:top w:val="none" w:sz="0" w:space="0" w:color="auto"/>
            <w:left w:val="none" w:sz="0" w:space="0" w:color="auto"/>
            <w:bottom w:val="none" w:sz="0" w:space="0" w:color="auto"/>
            <w:right w:val="none" w:sz="0" w:space="0" w:color="auto"/>
          </w:divBdr>
        </w:div>
        <w:div w:id="1106191282">
          <w:marLeft w:val="0"/>
          <w:marRight w:val="0"/>
          <w:marTop w:val="0"/>
          <w:marBottom w:val="225"/>
          <w:divBdr>
            <w:top w:val="none" w:sz="0" w:space="0" w:color="auto"/>
            <w:left w:val="none" w:sz="0" w:space="0" w:color="auto"/>
            <w:bottom w:val="none" w:sz="0" w:space="0" w:color="auto"/>
            <w:right w:val="none" w:sz="0" w:space="0" w:color="auto"/>
          </w:divBdr>
        </w:div>
        <w:div w:id="2093159904">
          <w:marLeft w:val="0"/>
          <w:marRight w:val="0"/>
          <w:marTop w:val="0"/>
          <w:marBottom w:val="225"/>
          <w:divBdr>
            <w:top w:val="none" w:sz="0" w:space="0" w:color="auto"/>
            <w:left w:val="none" w:sz="0" w:space="0" w:color="auto"/>
            <w:bottom w:val="none" w:sz="0" w:space="0" w:color="auto"/>
            <w:right w:val="none" w:sz="0" w:space="0" w:color="auto"/>
          </w:divBdr>
        </w:div>
        <w:div w:id="1335454712">
          <w:marLeft w:val="0"/>
          <w:marRight w:val="0"/>
          <w:marTop w:val="0"/>
          <w:marBottom w:val="225"/>
          <w:divBdr>
            <w:top w:val="none" w:sz="0" w:space="0" w:color="auto"/>
            <w:left w:val="none" w:sz="0" w:space="0" w:color="auto"/>
            <w:bottom w:val="none" w:sz="0" w:space="0" w:color="auto"/>
            <w:right w:val="none" w:sz="0" w:space="0" w:color="auto"/>
          </w:divBdr>
        </w:div>
        <w:div w:id="789665833">
          <w:marLeft w:val="0"/>
          <w:marRight w:val="0"/>
          <w:marTop w:val="0"/>
          <w:marBottom w:val="225"/>
          <w:divBdr>
            <w:top w:val="none" w:sz="0" w:space="0" w:color="auto"/>
            <w:left w:val="none" w:sz="0" w:space="0" w:color="auto"/>
            <w:bottom w:val="none" w:sz="0" w:space="0" w:color="auto"/>
            <w:right w:val="none" w:sz="0" w:space="0" w:color="auto"/>
          </w:divBdr>
        </w:div>
        <w:div w:id="1346247345">
          <w:marLeft w:val="0"/>
          <w:marRight w:val="0"/>
          <w:marTop w:val="0"/>
          <w:marBottom w:val="225"/>
          <w:divBdr>
            <w:top w:val="none" w:sz="0" w:space="0" w:color="auto"/>
            <w:left w:val="none" w:sz="0" w:space="0" w:color="auto"/>
            <w:bottom w:val="none" w:sz="0" w:space="0" w:color="auto"/>
            <w:right w:val="none" w:sz="0" w:space="0" w:color="auto"/>
          </w:divBdr>
        </w:div>
        <w:div w:id="84690380">
          <w:marLeft w:val="0"/>
          <w:marRight w:val="0"/>
          <w:marTop w:val="0"/>
          <w:marBottom w:val="225"/>
          <w:divBdr>
            <w:top w:val="none" w:sz="0" w:space="0" w:color="auto"/>
            <w:left w:val="none" w:sz="0" w:space="0" w:color="auto"/>
            <w:bottom w:val="none" w:sz="0" w:space="0" w:color="auto"/>
            <w:right w:val="none" w:sz="0" w:space="0" w:color="auto"/>
          </w:divBdr>
        </w:div>
        <w:div w:id="869345143">
          <w:marLeft w:val="0"/>
          <w:marRight w:val="0"/>
          <w:marTop w:val="0"/>
          <w:marBottom w:val="225"/>
          <w:divBdr>
            <w:top w:val="none" w:sz="0" w:space="0" w:color="auto"/>
            <w:left w:val="none" w:sz="0" w:space="0" w:color="auto"/>
            <w:bottom w:val="none" w:sz="0" w:space="0" w:color="auto"/>
            <w:right w:val="none" w:sz="0" w:space="0" w:color="auto"/>
          </w:divBdr>
        </w:div>
        <w:div w:id="204760644">
          <w:marLeft w:val="0"/>
          <w:marRight w:val="0"/>
          <w:marTop w:val="0"/>
          <w:marBottom w:val="225"/>
          <w:divBdr>
            <w:top w:val="none" w:sz="0" w:space="0" w:color="auto"/>
            <w:left w:val="none" w:sz="0" w:space="0" w:color="auto"/>
            <w:bottom w:val="none" w:sz="0" w:space="0" w:color="auto"/>
            <w:right w:val="none" w:sz="0" w:space="0" w:color="auto"/>
          </w:divBdr>
        </w:div>
        <w:div w:id="1470709803">
          <w:marLeft w:val="0"/>
          <w:marRight w:val="0"/>
          <w:marTop w:val="0"/>
          <w:marBottom w:val="225"/>
          <w:divBdr>
            <w:top w:val="none" w:sz="0" w:space="0" w:color="auto"/>
            <w:left w:val="none" w:sz="0" w:space="0" w:color="auto"/>
            <w:bottom w:val="none" w:sz="0" w:space="0" w:color="auto"/>
            <w:right w:val="none" w:sz="0" w:space="0" w:color="auto"/>
          </w:divBdr>
        </w:div>
        <w:div w:id="1067073862">
          <w:marLeft w:val="0"/>
          <w:marRight w:val="0"/>
          <w:marTop w:val="0"/>
          <w:marBottom w:val="225"/>
          <w:divBdr>
            <w:top w:val="none" w:sz="0" w:space="0" w:color="auto"/>
            <w:left w:val="none" w:sz="0" w:space="0" w:color="auto"/>
            <w:bottom w:val="none" w:sz="0" w:space="0" w:color="auto"/>
            <w:right w:val="none" w:sz="0" w:space="0" w:color="auto"/>
          </w:divBdr>
        </w:div>
        <w:div w:id="762839783">
          <w:marLeft w:val="0"/>
          <w:marRight w:val="0"/>
          <w:marTop w:val="0"/>
          <w:marBottom w:val="225"/>
          <w:divBdr>
            <w:top w:val="none" w:sz="0" w:space="0" w:color="auto"/>
            <w:left w:val="none" w:sz="0" w:space="0" w:color="auto"/>
            <w:bottom w:val="none" w:sz="0" w:space="0" w:color="auto"/>
            <w:right w:val="none" w:sz="0" w:space="0" w:color="auto"/>
          </w:divBdr>
        </w:div>
        <w:div w:id="1695764076">
          <w:marLeft w:val="0"/>
          <w:marRight w:val="0"/>
          <w:marTop w:val="0"/>
          <w:marBottom w:val="225"/>
          <w:divBdr>
            <w:top w:val="none" w:sz="0" w:space="0" w:color="auto"/>
            <w:left w:val="none" w:sz="0" w:space="0" w:color="auto"/>
            <w:bottom w:val="none" w:sz="0" w:space="0" w:color="auto"/>
            <w:right w:val="none" w:sz="0" w:space="0" w:color="auto"/>
          </w:divBdr>
        </w:div>
        <w:div w:id="372732774">
          <w:marLeft w:val="0"/>
          <w:marRight w:val="0"/>
          <w:marTop w:val="0"/>
          <w:marBottom w:val="225"/>
          <w:divBdr>
            <w:top w:val="none" w:sz="0" w:space="0" w:color="auto"/>
            <w:left w:val="none" w:sz="0" w:space="0" w:color="auto"/>
            <w:bottom w:val="none" w:sz="0" w:space="0" w:color="auto"/>
            <w:right w:val="none" w:sz="0" w:space="0" w:color="auto"/>
          </w:divBdr>
        </w:div>
        <w:div w:id="692614658">
          <w:marLeft w:val="0"/>
          <w:marRight w:val="0"/>
          <w:marTop w:val="0"/>
          <w:marBottom w:val="225"/>
          <w:divBdr>
            <w:top w:val="none" w:sz="0" w:space="0" w:color="auto"/>
            <w:left w:val="none" w:sz="0" w:space="0" w:color="auto"/>
            <w:bottom w:val="none" w:sz="0" w:space="0" w:color="auto"/>
            <w:right w:val="none" w:sz="0" w:space="0" w:color="auto"/>
          </w:divBdr>
        </w:div>
        <w:div w:id="1448818395">
          <w:marLeft w:val="0"/>
          <w:marRight w:val="0"/>
          <w:marTop w:val="0"/>
          <w:marBottom w:val="225"/>
          <w:divBdr>
            <w:top w:val="none" w:sz="0" w:space="0" w:color="auto"/>
            <w:left w:val="none" w:sz="0" w:space="0" w:color="auto"/>
            <w:bottom w:val="none" w:sz="0" w:space="0" w:color="auto"/>
            <w:right w:val="none" w:sz="0" w:space="0" w:color="auto"/>
          </w:divBdr>
        </w:div>
        <w:div w:id="2145660902">
          <w:marLeft w:val="0"/>
          <w:marRight w:val="0"/>
          <w:marTop w:val="0"/>
          <w:marBottom w:val="225"/>
          <w:divBdr>
            <w:top w:val="none" w:sz="0" w:space="0" w:color="auto"/>
            <w:left w:val="none" w:sz="0" w:space="0" w:color="auto"/>
            <w:bottom w:val="none" w:sz="0" w:space="0" w:color="auto"/>
            <w:right w:val="none" w:sz="0" w:space="0" w:color="auto"/>
          </w:divBdr>
        </w:div>
        <w:div w:id="742722201">
          <w:marLeft w:val="0"/>
          <w:marRight w:val="0"/>
          <w:marTop w:val="0"/>
          <w:marBottom w:val="225"/>
          <w:divBdr>
            <w:top w:val="none" w:sz="0" w:space="0" w:color="auto"/>
            <w:left w:val="none" w:sz="0" w:space="0" w:color="auto"/>
            <w:bottom w:val="none" w:sz="0" w:space="0" w:color="auto"/>
            <w:right w:val="none" w:sz="0" w:space="0" w:color="auto"/>
          </w:divBdr>
        </w:div>
        <w:div w:id="736786694">
          <w:marLeft w:val="0"/>
          <w:marRight w:val="0"/>
          <w:marTop w:val="0"/>
          <w:marBottom w:val="225"/>
          <w:divBdr>
            <w:top w:val="none" w:sz="0" w:space="0" w:color="auto"/>
            <w:left w:val="none" w:sz="0" w:space="0" w:color="auto"/>
            <w:bottom w:val="none" w:sz="0" w:space="0" w:color="auto"/>
            <w:right w:val="none" w:sz="0" w:space="0" w:color="auto"/>
          </w:divBdr>
        </w:div>
        <w:div w:id="105318607">
          <w:marLeft w:val="0"/>
          <w:marRight w:val="0"/>
          <w:marTop w:val="0"/>
          <w:marBottom w:val="225"/>
          <w:divBdr>
            <w:top w:val="none" w:sz="0" w:space="0" w:color="auto"/>
            <w:left w:val="none" w:sz="0" w:space="0" w:color="auto"/>
            <w:bottom w:val="none" w:sz="0" w:space="0" w:color="auto"/>
            <w:right w:val="none" w:sz="0" w:space="0" w:color="auto"/>
          </w:divBdr>
        </w:div>
        <w:div w:id="2103187549">
          <w:marLeft w:val="0"/>
          <w:marRight w:val="0"/>
          <w:marTop w:val="0"/>
          <w:marBottom w:val="225"/>
          <w:divBdr>
            <w:top w:val="none" w:sz="0" w:space="0" w:color="auto"/>
            <w:left w:val="none" w:sz="0" w:space="0" w:color="auto"/>
            <w:bottom w:val="none" w:sz="0" w:space="0" w:color="auto"/>
            <w:right w:val="none" w:sz="0" w:space="0" w:color="auto"/>
          </w:divBdr>
        </w:div>
        <w:div w:id="602231335">
          <w:marLeft w:val="0"/>
          <w:marRight w:val="0"/>
          <w:marTop w:val="0"/>
          <w:marBottom w:val="225"/>
          <w:divBdr>
            <w:top w:val="none" w:sz="0" w:space="0" w:color="auto"/>
            <w:left w:val="none" w:sz="0" w:space="0" w:color="auto"/>
            <w:bottom w:val="none" w:sz="0" w:space="0" w:color="auto"/>
            <w:right w:val="none" w:sz="0" w:space="0" w:color="auto"/>
          </w:divBdr>
        </w:div>
        <w:div w:id="1420370095">
          <w:marLeft w:val="0"/>
          <w:marRight w:val="0"/>
          <w:marTop w:val="0"/>
          <w:marBottom w:val="225"/>
          <w:divBdr>
            <w:top w:val="none" w:sz="0" w:space="0" w:color="auto"/>
            <w:left w:val="none" w:sz="0" w:space="0" w:color="auto"/>
            <w:bottom w:val="none" w:sz="0" w:space="0" w:color="auto"/>
            <w:right w:val="none" w:sz="0" w:space="0" w:color="auto"/>
          </w:divBdr>
        </w:div>
        <w:div w:id="2011061572">
          <w:marLeft w:val="0"/>
          <w:marRight w:val="0"/>
          <w:marTop w:val="0"/>
          <w:marBottom w:val="225"/>
          <w:divBdr>
            <w:top w:val="none" w:sz="0" w:space="0" w:color="auto"/>
            <w:left w:val="none" w:sz="0" w:space="0" w:color="auto"/>
            <w:bottom w:val="none" w:sz="0" w:space="0" w:color="auto"/>
            <w:right w:val="none" w:sz="0" w:space="0" w:color="auto"/>
          </w:divBdr>
        </w:div>
        <w:div w:id="375157986">
          <w:marLeft w:val="0"/>
          <w:marRight w:val="0"/>
          <w:marTop w:val="0"/>
          <w:marBottom w:val="225"/>
          <w:divBdr>
            <w:top w:val="none" w:sz="0" w:space="0" w:color="auto"/>
            <w:left w:val="none" w:sz="0" w:space="0" w:color="auto"/>
            <w:bottom w:val="none" w:sz="0" w:space="0" w:color="auto"/>
            <w:right w:val="none" w:sz="0" w:space="0" w:color="auto"/>
          </w:divBdr>
        </w:div>
        <w:div w:id="1068571172">
          <w:marLeft w:val="0"/>
          <w:marRight w:val="0"/>
          <w:marTop w:val="0"/>
          <w:marBottom w:val="225"/>
          <w:divBdr>
            <w:top w:val="none" w:sz="0" w:space="0" w:color="auto"/>
            <w:left w:val="none" w:sz="0" w:space="0" w:color="auto"/>
            <w:bottom w:val="none" w:sz="0" w:space="0" w:color="auto"/>
            <w:right w:val="none" w:sz="0" w:space="0" w:color="auto"/>
          </w:divBdr>
        </w:div>
        <w:div w:id="1678074984">
          <w:marLeft w:val="0"/>
          <w:marRight w:val="0"/>
          <w:marTop w:val="0"/>
          <w:marBottom w:val="225"/>
          <w:divBdr>
            <w:top w:val="none" w:sz="0" w:space="0" w:color="auto"/>
            <w:left w:val="none" w:sz="0" w:space="0" w:color="auto"/>
            <w:bottom w:val="none" w:sz="0" w:space="0" w:color="auto"/>
            <w:right w:val="none" w:sz="0" w:space="0" w:color="auto"/>
          </w:divBdr>
        </w:div>
        <w:div w:id="90513">
          <w:marLeft w:val="0"/>
          <w:marRight w:val="0"/>
          <w:marTop w:val="0"/>
          <w:marBottom w:val="225"/>
          <w:divBdr>
            <w:top w:val="none" w:sz="0" w:space="0" w:color="auto"/>
            <w:left w:val="none" w:sz="0" w:space="0" w:color="auto"/>
            <w:bottom w:val="none" w:sz="0" w:space="0" w:color="auto"/>
            <w:right w:val="none" w:sz="0" w:space="0" w:color="auto"/>
          </w:divBdr>
        </w:div>
        <w:div w:id="714087537">
          <w:marLeft w:val="0"/>
          <w:marRight w:val="0"/>
          <w:marTop w:val="0"/>
          <w:marBottom w:val="225"/>
          <w:divBdr>
            <w:top w:val="none" w:sz="0" w:space="0" w:color="auto"/>
            <w:left w:val="none" w:sz="0" w:space="0" w:color="auto"/>
            <w:bottom w:val="none" w:sz="0" w:space="0" w:color="auto"/>
            <w:right w:val="none" w:sz="0" w:space="0" w:color="auto"/>
          </w:divBdr>
        </w:div>
        <w:div w:id="637688234">
          <w:marLeft w:val="0"/>
          <w:marRight w:val="0"/>
          <w:marTop w:val="0"/>
          <w:marBottom w:val="225"/>
          <w:divBdr>
            <w:top w:val="none" w:sz="0" w:space="0" w:color="auto"/>
            <w:left w:val="none" w:sz="0" w:space="0" w:color="auto"/>
            <w:bottom w:val="none" w:sz="0" w:space="0" w:color="auto"/>
            <w:right w:val="none" w:sz="0" w:space="0" w:color="auto"/>
          </w:divBdr>
        </w:div>
        <w:div w:id="1838840758">
          <w:marLeft w:val="0"/>
          <w:marRight w:val="0"/>
          <w:marTop w:val="0"/>
          <w:marBottom w:val="225"/>
          <w:divBdr>
            <w:top w:val="none" w:sz="0" w:space="0" w:color="auto"/>
            <w:left w:val="none" w:sz="0" w:space="0" w:color="auto"/>
            <w:bottom w:val="none" w:sz="0" w:space="0" w:color="auto"/>
            <w:right w:val="none" w:sz="0" w:space="0" w:color="auto"/>
          </w:divBdr>
        </w:div>
        <w:div w:id="332220623">
          <w:marLeft w:val="0"/>
          <w:marRight w:val="0"/>
          <w:marTop w:val="0"/>
          <w:marBottom w:val="225"/>
          <w:divBdr>
            <w:top w:val="none" w:sz="0" w:space="0" w:color="auto"/>
            <w:left w:val="none" w:sz="0" w:space="0" w:color="auto"/>
            <w:bottom w:val="none" w:sz="0" w:space="0" w:color="auto"/>
            <w:right w:val="none" w:sz="0" w:space="0" w:color="auto"/>
          </w:divBdr>
        </w:div>
        <w:div w:id="1401828695">
          <w:marLeft w:val="0"/>
          <w:marRight w:val="0"/>
          <w:marTop w:val="0"/>
          <w:marBottom w:val="225"/>
          <w:divBdr>
            <w:top w:val="none" w:sz="0" w:space="0" w:color="auto"/>
            <w:left w:val="none" w:sz="0" w:space="0" w:color="auto"/>
            <w:bottom w:val="none" w:sz="0" w:space="0" w:color="auto"/>
            <w:right w:val="none" w:sz="0" w:space="0" w:color="auto"/>
          </w:divBdr>
        </w:div>
        <w:div w:id="1860659440">
          <w:marLeft w:val="0"/>
          <w:marRight w:val="0"/>
          <w:marTop w:val="0"/>
          <w:marBottom w:val="225"/>
          <w:divBdr>
            <w:top w:val="none" w:sz="0" w:space="0" w:color="auto"/>
            <w:left w:val="none" w:sz="0" w:space="0" w:color="auto"/>
            <w:bottom w:val="none" w:sz="0" w:space="0" w:color="auto"/>
            <w:right w:val="none" w:sz="0" w:space="0" w:color="auto"/>
          </w:divBdr>
        </w:div>
        <w:div w:id="1481000799">
          <w:marLeft w:val="0"/>
          <w:marRight w:val="0"/>
          <w:marTop w:val="0"/>
          <w:marBottom w:val="225"/>
          <w:divBdr>
            <w:top w:val="none" w:sz="0" w:space="0" w:color="auto"/>
            <w:left w:val="none" w:sz="0" w:space="0" w:color="auto"/>
            <w:bottom w:val="none" w:sz="0" w:space="0" w:color="auto"/>
            <w:right w:val="none" w:sz="0" w:space="0" w:color="auto"/>
          </w:divBdr>
        </w:div>
        <w:div w:id="785081141">
          <w:marLeft w:val="0"/>
          <w:marRight w:val="0"/>
          <w:marTop w:val="0"/>
          <w:marBottom w:val="225"/>
          <w:divBdr>
            <w:top w:val="none" w:sz="0" w:space="0" w:color="auto"/>
            <w:left w:val="none" w:sz="0" w:space="0" w:color="auto"/>
            <w:bottom w:val="none" w:sz="0" w:space="0" w:color="auto"/>
            <w:right w:val="none" w:sz="0" w:space="0" w:color="auto"/>
          </w:divBdr>
        </w:div>
        <w:div w:id="405148116">
          <w:marLeft w:val="0"/>
          <w:marRight w:val="0"/>
          <w:marTop w:val="0"/>
          <w:marBottom w:val="225"/>
          <w:divBdr>
            <w:top w:val="none" w:sz="0" w:space="0" w:color="auto"/>
            <w:left w:val="none" w:sz="0" w:space="0" w:color="auto"/>
            <w:bottom w:val="none" w:sz="0" w:space="0" w:color="auto"/>
            <w:right w:val="none" w:sz="0" w:space="0" w:color="auto"/>
          </w:divBdr>
        </w:div>
        <w:div w:id="2120949334">
          <w:marLeft w:val="0"/>
          <w:marRight w:val="0"/>
          <w:marTop w:val="0"/>
          <w:marBottom w:val="225"/>
          <w:divBdr>
            <w:top w:val="none" w:sz="0" w:space="0" w:color="auto"/>
            <w:left w:val="none" w:sz="0" w:space="0" w:color="auto"/>
            <w:bottom w:val="none" w:sz="0" w:space="0" w:color="auto"/>
            <w:right w:val="none" w:sz="0" w:space="0" w:color="auto"/>
          </w:divBdr>
        </w:div>
        <w:div w:id="1674333836">
          <w:marLeft w:val="0"/>
          <w:marRight w:val="0"/>
          <w:marTop w:val="0"/>
          <w:marBottom w:val="225"/>
          <w:divBdr>
            <w:top w:val="none" w:sz="0" w:space="0" w:color="auto"/>
            <w:left w:val="none" w:sz="0" w:space="0" w:color="auto"/>
            <w:bottom w:val="none" w:sz="0" w:space="0" w:color="auto"/>
            <w:right w:val="none" w:sz="0" w:space="0" w:color="auto"/>
          </w:divBdr>
        </w:div>
        <w:div w:id="1750693794">
          <w:marLeft w:val="0"/>
          <w:marRight w:val="0"/>
          <w:marTop w:val="0"/>
          <w:marBottom w:val="225"/>
          <w:divBdr>
            <w:top w:val="none" w:sz="0" w:space="0" w:color="auto"/>
            <w:left w:val="none" w:sz="0" w:space="0" w:color="auto"/>
            <w:bottom w:val="none" w:sz="0" w:space="0" w:color="auto"/>
            <w:right w:val="none" w:sz="0" w:space="0" w:color="auto"/>
          </w:divBdr>
        </w:div>
        <w:div w:id="915944664">
          <w:marLeft w:val="0"/>
          <w:marRight w:val="0"/>
          <w:marTop w:val="0"/>
          <w:marBottom w:val="225"/>
          <w:divBdr>
            <w:top w:val="none" w:sz="0" w:space="0" w:color="auto"/>
            <w:left w:val="none" w:sz="0" w:space="0" w:color="auto"/>
            <w:bottom w:val="none" w:sz="0" w:space="0" w:color="auto"/>
            <w:right w:val="none" w:sz="0" w:space="0" w:color="auto"/>
          </w:divBdr>
        </w:div>
        <w:div w:id="1489521457">
          <w:marLeft w:val="0"/>
          <w:marRight w:val="0"/>
          <w:marTop w:val="0"/>
          <w:marBottom w:val="225"/>
          <w:divBdr>
            <w:top w:val="none" w:sz="0" w:space="0" w:color="auto"/>
            <w:left w:val="none" w:sz="0" w:space="0" w:color="auto"/>
            <w:bottom w:val="none" w:sz="0" w:space="0" w:color="auto"/>
            <w:right w:val="none" w:sz="0" w:space="0" w:color="auto"/>
          </w:divBdr>
        </w:div>
        <w:div w:id="845360326">
          <w:marLeft w:val="0"/>
          <w:marRight w:val="0"/>
          <w:marTop w:val="0"/>
          <w:marBottom w:val="225"/>
          <w:divBdr>
            <w:top w:val="none" w:sz="0" w:space="0" w:color="auto"/>
            <w:left w:val="none" w:sz="0" w:space="0" w:color="auto"/>
            <w:bottom w:val="none" w:sz="0" w:space="0" w:color="auto"/>
            <w:right w:val="none" w:sz="0" w:space="0" w:color="auto"/>
          </w:divBdr>
        </w:div>
        <w:div w:id="948395122">
          <w:marLeft w:val="0"/>
          <w:marRight w:val="0"/>
          <w:marTop w:val="0"/>
          <w:marBottom w:val="225"/>
          <w:divBdr>
            <w:top w:val="none" w:sz="0" w:space="0" w:color="auto"/>
            <w:left w:val="none" w:sz="0" w:space="0" w:color="auto"/>
            <w:bottom w:val="none" w:sz="0" w:space="0" w:color="auto"/>
            <w:right w:val="none" w:sz="0" w:space="0" w:color="auto"/>
          </w:divBdr>
        </w:div>
        <w:div w:id="745222788">
          <w:marLeft w:val="0"/>
          <w:marRight w:val="0"/>
          <w:marTop w:val="0"/>
          <w:marBottom w:val="225"/>
          <w:divBdr>
            <w:top w:val="none" w:sz="0" w:space="0" w:color="auto"/>
            <w:left w:val="none" w:sz="0" w:space="0" w:color="auto"/>
            <w:bottom w:val="none" w:sz="0" w:space="0" w:color="auto"/>
            <w:right w:val="none" w:sz="0" w:space="0" w:color="auto"/>
          </w:divBdr>
        </w:div>
        <w:div w:id="16392663">
          <w:marLeft w:val="0"/>
          <w:marRight w:val="0"/>
          <w:marTop w:val="0"/>
          <w:marBottom w:val="225"/>
          <w:divBdr>
            <w:top w:val="none" w:sz="0" w:space="0" w:color="auto"/>
            <w:left w:val="none" w:sz="0" w:space="0" w:color="auto"/>
            <w:bottom w:val="none" w:sz="0" w:space="0" w:color="auto"/>
            <w:right w:val="none" w:sz="0" w:space="0" w:color="auto"/>
          </w:divBdr>
        </w:div>
        <w:div w:id="1254045881">
          <w:marLeft w:val="0"/>
          <w:marRight w:val="0"/>
          <w:marTop w:val="0"/>
          <w:marBottom w:val="225"/>
          <w:divBdr>
            <w:top w:val="none" w:sz="0" w:space="0" w:color="auto"/>
            <w:left w:val="none" w:sz="0" w:space="0" w:color="auto"/>
            <w:bottom w:val="none" w:sz="0" w:space="0" w:color="auto"/>
            <w:right w:val="none" w:sz="0" w:space="0" w:color="auto"/>
          </w:divBdr>
        </w:div>
        <w:div w:id="912203109">
          <w:marLeft w:val="0"/>
          <w:marRight w:val="0"/>
          <w:marTop w:val="0"/>
          <w:marBottom w:val="225"/>
          <w:divBdr>
            <w:top w:val="none" w:sz="0" w:space="0" w:color="auto"/>
            <w:left w:val="none" w:sz="0" w:space="0" w:color="auto"/>
            <w:bottom w:val="none" w:sz="0" w:space="0" w:color="auto"/>
            <w:right w:val="none" w:sz="0" w:space="0" w:color="auto"/>
          </w:divBdr>
        </w:div>
        <w:div w:id="1086414952">
          <w:marLeft w:val="0"/>
          <w:marRight w:val="0"/>
          <w:marTop w:val="0"/>
          <w:marBottom w:val="225"/>
          <w:divBdr>
            <w:top w:val="none" w:sz="0" w:space="0" w:color="auto"/>
            <w:left w:val="none" w:sz="0" w:space="0" w:color="auto"/>
            <w:bottom w:val="none" w:sz="0" w:space="0" w:color="auto"/>
            <w:right w:val="none" w:sz="0" w:space="0" w:color="auto"/>
          </w:divBdr>
        </w:div>
        <w:div w:id="155584146">
          <w:marLeft w:val="0"/>
          <w:marRight w:val="0"/>
          <w:marTop w:val="0"/>
          <w:marBottom w:val="225"/>
          <w:divBdr>
            <w:top w:val="none" w:sz="0" w:space="0" w:color="auto"/>
            <w:left w:val="none" w:sz="0" w:space="0" w:color="auto"/>
            <w:bottom w:val="none" w:sz="0" w:space="0" w:color="auto"/>
            <w:right w:val="none" w:sz="0" w:space="0" w:color="auto"/>
          </w:divBdr>
        </w:div>
        <w:div w:id="506750204">
          <w:marLeft w:val="0"/>
          <w:marRight w:val="0"/>
          <w:marTop w:val="0"/>
          <w:marBottom w:val="225"/>
          <w:divBdr>
            <w:top w:val="none" w:sz="0" w:space="0" w:color="auto"/>
            <w:left w:val="none" w:sz="0" w:space="0" w:color="auto"/>
            <w:bottom w:val="none" w:sz="0" w:space="0" w:color="auto"/>
            <w:right w:val="none" w:sz="0" w:space="0" w:color="auto"/>
          </w:divBdr>
        </w:div>
        <w:div w:id="1212382866">
          <w:marLeft w:val="0"/>
          <w:marRight w:val="0"/>
          <w:marTop w:val="0"/>
          <w:marBottom w:val="225"/>
          <w:divBdr>
            <w:top w:val="none" w:sz="0" w:space="0" w:color="auto"/>
            <w:left w:val="none" w:sz="0" w:space="0" w:color="auto"/>
            <w:bottom w:val="none" w:sz="0" w:space="0" w:color="auto"/>
            <w:right w:val="none" w:sz="0" w:space="0" w:color="auto"/>
          </w:divBdr>
        </w:div>
        <w:div w:id="1530409698">
          <w:marLeft w:val="0"/>
          <w:marRight w:val="0"/>
          <w:marTop w:val="0"/>
          <w:marBottom w:val="225"/>
          <w:divBdr>
            <w:top w:val="none" w:sz="0" w:space="0" w:color="auto"/>
            <w:left w:val="none" w:sz="0" w:space="0" w:color="auto"/>
            <w:bottom w:val="none" w:sz="0" w:space="0" w:color="auto"/>
            <w:right w:val="none" w:sz="0" w:space="0" w:color="auto"/>
          </w:divBdr>
        </w:div>
        <w:div w:id="601569549">
          <w:marLeft w:val="0"/>
          <w:marRight w:val="0"/>
          <w:marTop w:val="0"/>
          <w:marBottom w:val="225"/>
          <w:divBdr>
            <w:top w:val="none" w:sz="0" w:space="0" w:color="auto"/>
            <w:left w:val="none" w:sz="0" w:space="0" w:color="auto"/>
            <w:bottom w:val="none" w:sz="0" w:space="0" w:color="auto"/>
            <w:right w:val="none" w:sz="0" w:space="0" w:color="auto"/>
          </w:divBdr>
        </w:div>
        <w:div w:id="1180773789">
          <w:marLeft w:val="0"/>
          <w:marRight w:val="0"/>
          <w:marTop w:val="0"/>
          <w:marBottom w:val="225"/>
          <w:divBdr>
            <w:top w:val="none" w:sz="0" w:space="0" w:color="auto"/>
            <w:left w:val="none" w:sz="0" w:space="0" w:color="auto"/>
            <w:bottom w:val="none" w:sz="0" w:space="0" w:color="auto"/>
            <w:right w:val="none" w:sz="0" w:space="0" w:color="auto"/>
          </w:divBdr>
        </w:div>
        <w:div w:id="23606235">
          <w:marLeft w:val="0"/>
          <w:marRight w:val="0"/>
          <w:marTop w:val="0"/>
          <w:marBottom w:val="225"/>
          <w:divBdr>
            <w:top w:val="none" w:sz="0" w:space="0" w:color="auto"/>
            <w:left w:val="none" w:sz="0" w:space="0" w:color="auto"/>
            <w:bottom w:val="none" w:sz="0" w:space="0" w:color="auto"/>
            <w:right w:val="none" w:sz="0" w:space="0" w:color="auto"/>
          </w:divBdr>
        </w:div>
        <w:div w:id="1853765153">
          <w:marLeft w:val="0"/>
          <w:marRight w:val="0"/>
          <w:marTop w:val="0"/>
          <w:marBottom w:val="225"/>
          <w:divBdr>
            <w:top w:val="none" w:sz="0" w:space="0" w:color="auto"/>
            <w:left w:val="none" w:sz="0" w:space="0" w:color="auto"/>
            <w:bottom w:val="none" w:sz="0" w:space="0" w:color="auto"/>
            <w:right w:val="none" w:sz="0" w:space="0" w:color="auto"/>
          </w:divBdr>
        </w:div>
        <w:div w:id="759788772">
          <w:marLeft w:val="0"/>
          <w:marRight w:val="0"/>
          <w:marTop w:val="0"/>
          <w:marBottom w:val="225"/>
          <w:divBdr>
            <w:top w:val="none" w:sz="0" w:space="0" w:color="auto"/>
            <w:left w:val="none" w:sz="0" w:space="0" w:color="auto"/>
            <w:bottom w:val="none" w:sz="0" w:space="0" w:color="auto"/>
            <w:right w:val="none" w:sz="0" w:space="0" w:color="auto"/>
          </w:divBdr>
        </w:div>
        <w:div w:id="1732077934">
          <w:marLeft w:val="0"/>
          <w:marRight w:val="0"/>
          <w:marTop w:val="0"/>
          <w:marBottom w:val="225"/>
          <w:divBdr>
            <w:top w:val="none" w:sz="0" w:space="0" w:color="auto"/>
            <w:left w:val="none" w:sz="0" w:space="0" w:color="auto"/>
            <w:bottom w:val="none" w:sz="0" w:space="0" w:color="auto"/>
            <w:right w:val="none" w:sz="0" w:space="0" w:color="auto"/>
          </w:divBdr>
        </w:div>
        <w:div w:id="1516267782">
          <w:marLeft w:val="0"/>
          <w:marRight w:val="0"/>
          <w:marTop w:val="0"/>
          <w:marBottom w:val="225"/>
          <w:divBdr>
            <w:top w:val="none" w:sz="0" w:space="0" w:color="auto"/>
            <w:left w:val="none" w:sz="0" w:space="0" w:color="auto"/>
            <w:bottom w:val="none" w:sz="0" w:space="0" w:color="auto"/>
            <w:right w:val="none" w:sz="0" w:space="0" w:color="auto"/>
          </w:divBdr>
        </w:div>
        <w:div w:id="807014144">
          <w:marLeft w:val="0"/>
          <w:marRight w:val="0"/>
          <w:marTop w:val="0"/>
          <w:marBottom w:val="225"/>
          <w:divBdr>
            <w:top w:val="none" w:sz="0" w:space="0" w:color="auto"/>
            <w:left w:val="none" w:sz="0" w:space="0" w:color="auto"/>
            <w:bottom w:val="none" w:sz="0" w:space="0" w:color="auto"/>
            <w:right w:val="none" w:sz="0" w:space="0" w:color="auto"/>
          </w:divBdr>
        </w:div>
        <w:div w:id="91098261">
          <w:marLeft w:val="0"/>
          <w:marRight w:val="0"/>
          <w:marTop w:val="0"/>
          <w:marBottom w:val="225"/>
          <w:divBdr>
            <w:top w:val="none" w:sz="0" w:space="0" w:color="auto"/>
            <w:left w:val="none" w:sz="0" w:space="0" w:color="auto"/>
            <w:bottom w:val="none" w:sz="0" w:space="0" w:color="auto"/>
            <w:right w:val="none" w:sz="0" w:space="0" w:color="auto"/>
          </w:divBdr>
        </w:div>
        <w:div w:id="691296579">
          <w:marLeft w:val="0"/>
          <w:marRight w:val="0"/>
          <w:marTop w:val="0"/>
          <w:marBottom w:val="225"/>
          <w:divBdr>
            <w:top w:val="none" w:sz="0" w:space="0" w:color="auto"/>
            <w:left w:val="none" w:sz="0" w:space="0" w:color="auto"/>
            <w:bottom w:val="none" w:sz="0" w:space="0" w:color="auto"/>
            <w:right w:val="none" w:sz="0" w:space="0" w:color="auto"/>
          </w:divBdr>
        </w:div>
        <w:div w:id="99492798">
          <w:marLeft w:val="0"/>
          <w:marRight w:val="0"/>
          <w:marTop w:val="0"/>
          <w:marBottom w:val="225"/>
          <w:divBdr>
            <w:top w:val="none" w:sz="0" w:space="0" w:color="auto"/>
            <w:left w:val="none" w:sz="0" w:space="0" w:color="auto"/>
            <w:bottom w:val="none" w:sz="0" w:space="0" w:color="auto"/>
            <w:right w:val="none" w:sz="0" w:space="0" w:color="auto"/>
          </w:divBdr>
        </w:div>
        <w:div w:id="1132334506">
          <w:marLeft w:val="0"/>
          <w:marRight w:val="0"/>
          <w:marTop w:val="0"/>
          <w:marBottom w:val="225"/>
          <w:divBdr>
            <w:top w:val="none" w:sz="0" w:space="0" w:color="auto"/>
            <w:left w:val="none" w:sz="0" w:space="0" w:color="auto"/>
            <w:bottom w:val="none" w:sz="0" w:space="0" w:color="auto"/>
            <w:right w:val="none" w:sz="0" w:space="0" w:color="auto"/>
          </w:divBdr>
        </w:div>
        <w:div w:id="850073072">
          <w:marLeft w:val="0"/>
          <w:marRight w:val="0"/>
          <w:marTop w:val="0"/>
          <w:marBottom w:val="225"/>
          <w:divBdr>
            <w:top w:val="none" w:sz="0" w:space="0" w:color="auto"/>
            <w:left w:val="none" w:sz="0" w:space="0" w:color="auto"/>
            <w:bottom w:val="none" w:sz="0" w:space="0" w:color="auto"/>
            <w:right w:val="none" w:sz="0" w:space="0" w:color="auto"/>
          </w:divBdr>
        </w:div>
        <w:div w:id="543836433">
          <w:marLeft w:val="0"/>
          <w:marRight w:val="0"/>
          <w:marTop w:val="0"/>
          <w:marBottom w:val="225"/>
          <w:divBdr>
            <w:top w:val="none" w:sz="0" w:space="0" w:color="auto"/>
            <w:left w:val="none" w:sz="0" w:space="0" w:color="auto"/>
            <w:bottom w:val="none" w:sz="0" w:space="0" w:color="auto"/>
            <w:right w:val="none" w:sz="0" w:space="0" w:color="auto"/>
          </w:divBdr>
        </w:div>
        <w:div w:id="646664208">
          <w:marLeft w:val="0"/>
          <w:marRight w:val="0"/>
          <w:marTop w:val="0"/>
          <w:marBottom w:val="225"/>
          <w:divBdr>
            <w:top w:val="none" w:sz="0" w:space="0" w:color="auto"/>
            <w:left w:val="none" w:sz="0" w:space="0" w:color="auto"/>
            <w:bottom w:val="none" w:sz="0" w:space="0" w:color="auto"/>
            <w:right w:val="none" w:sz="0" w:space="0" w:color="auto"/>
          </w:divBdr>
        </w:div>
        <w:div w:id="590510404">
          <w:marLeft w:val="0"/>
          <w:marRight w:val="0"/>
          <w:marTop w:val="0"/>
          <w:marBottom w:val="225"/>
          <w:divBdr>
            <w:top w:val="none" w:sz="0" w:space="0" w:color="auto"/>
            <w:left w:val="none" w:sz="0" w:space="0" w:color="auto"/>
            <w:bottom w:val="none" w:sz="0" w:space="0" w:color="auto"/>
            <w:right w:val="none" w:sz="0" w:space="0" w:color="auto"/>
          </w:divBdr>
        </w:div>
        <w:div w:id="1597902638">
          <w:marLeft w:val="0"/>
          <w:marRight w:val="0"/>
          <w:marTop w:val="0"/>
          <w:marBottom w:val="225"/>
          <w:divBdr>
            <w:top w:val="none" w:sz="0" w:space="0" w:color="auto"/>
            <w:left w:val="none" w:sz="0" w:space="0" w:color="auto"/>
            <w:bottom w:val="none" w:sz="0" w:space="0" w:color="auto"/>
            <w:right w:val="none" w:sz="0" w:space="0" w:color="auto"/>
          </w:divBdr>
        </w:div>
        <w:div w:id="1511941934">
          <w:marLeft w:val="0"/>
          <w:marRight w:val="0"/>
          <w:marTop w:val="0"/>
          <w:marBottom w:val="225"/>
          <w:divBdr>
            <w:top w:val="none" w:sz="0" w:space="0" w:color="auto"/>
            <w:left w:val="none" w:sz="0" w:space="0" w:color="auto"/>
            <w:bottom w:val="none" w:sz="0" w:space="0" w:color="auto"/>
            <w:right w:val="none" w:sz="0" w:space="0" w:color="auto"/>
          </w:divBdr>
        </w:div>
        <w:div w:id="1995186114">
          <w:marLeft w:val="0"/>
          <w:marRight w:val="0"/>
          <w:marTop w:val="0"/>
          <w:marBottom w:val="225"/>
          <w:divBdr>
            <w:top w:val="none" w:sz="0" w:space="0" w:color="auto"/>
            <w:left w:val="none" w:sz="0" w:space="0" w:color="auto"/>
            <w:bottom w:val="none" w:sz="0" w:space="0" w:color="auto"/>
            <w:right w:val="none" w:sz="0" w:space="0" w:color="auto"/>
          </w:divBdr>
        </w:div>
        <w:div w:id="1682779291">
          <w:marLeft w:val="0"/>
          <w:marRight w:val="0"/>
          <w:marTop w:val="0"/>
          <w:marBottom w:val="225"/>
          <w:divBdr>
            <w:top w:val="none" w:sz="0" w:space="0" w:color="auto"/>
            <w:left w:val="none" w:sz="0" w:space="0" w:color="auto"/>
            <w:bottom w:val="none" w:sz="0" w:space="0" w:color="auto"/>
            <w:right w:val="none" w:sz="0" w:space="0" w:color="auto"/>
          </w:divBdr>
        </w:div>
        <w:div w:id="1144544279">
          <w:marLeft w:val="0"/>
          <w:marRight w:val="0"/>
          <w:marTop w:val="0"/>
          <w:marBottom w:val="225"/>
          <w:divBdr>
            <w:top w:val="none" w:sz="0" w:space="0" w:color="auto"/>
            <w:left w:val="none" w:sz="0" w:space="0" w:color="auto"/>
            <w:bottom w:val="none" w:sz="0" w:space="0" w:color="auto"/>
            <w:right w:val="none" w:sz="0" w:space="0" w:color="auto"/>
          </w:divBdr>
        </w:div>
        <w:div w:id="1895383008">
          <w:marLeft w:val="0"/>
          <w:marRight w:val="0"/>
          <w:marTop w:val="0"/>
          <w:marBottom w:val="225"/>
          <w:divBdr>
            <w:top w:val="none" w:sz="0" w:space="0" w:color="auto"/>
            <w:left w:val="none" w:sz="0" w:space="0" w:color="auto"/>
            <w:bottom w:val="none" w:sz="0" w:space="0" w:color="auto"/>
            <w:right w:val="none" w:sz="0" w:space="0" w:color="auto"/>
          </w:divBdr>
        </w:div>
        <w:div w:id="194780418">
          <w:marLeft w:val="0"/>
          <w:marRight w:val="0"/>
          <w:marTop w:val="0"/>
          <w:marBottom w:val="225"/>
          <w:divBdr>
            <w:top w:val="none" w:sz="0" w:space="0" w:color="auto"/>
            <w:left w:val="none" w:sz="0" w:space="0" w:color="auto"/>
            <w:bottom w:val="none" w:sz="0" w:space="0" w:color="auto"/>
            <w:right w:val="none" w:sz="0" w:space="0" w:color="auto"/>
          </w:divBdr>
        </w:div>
        <w:div w:id="1485199456">
          <w:marLeft w:val="0"/>
          <w:marRight w:val="0"/>
          <w:marTop w:val="0"/>
          <w:marBottom w:val="225"/>
          <w:divBdr>
            <w:top w:val="none" w:sz="0" w:space="0" w:color="auto"/>
            <w:left w:val="none" w:sz="0" w:space="0" w:color="auto"/>
            <w:bottom w:val="none" w:sz="0" w:space="0" w:color="auto"/>
            <w:right w:val="none" w:sz="0" w:space="0" w:color="auto"/>
          </w:divBdr>
        </w:div>
        <w:div w:id="1900704702">
          <w:marLeft w:val="0"/>
          <w:marRight w:val="0"/>
          <w:marTop w:val="0"/>
          <w:marBottom w:val="225"/>
          <w:divBdr>
            <w:top w:val="none" w:sz="0" w:space="0" w:color="auto"/>
            <w:left w:val="none" w:sz="0" w:space="0" w:color="auto"/>
            <w:bottom w:val="none" w:sz="0" w:space="0" w:color="auto"/>
            <w:right w:val="none" w:sz="0" w:space="0" w:color="auto"/>
          </w:divBdr>
        </w:div>
        <w:div w:id="1845434124">
          <w:marLeft w:val="-450"/>
          <w:marRight w:val="0"/>
          <w:marTop w:val="525"/>
          <w:marBottom w:val="225"/>
          <w:divBdr>
            <w:top w:val="none" w:sz="0" w:space="0" w:color="auto"/>
            <w:left w:val="single" w:sz="48" w:space="0" w:color="4F9CEE"/>
            <w:bottom w:val="none" w:sz="0" w:space="0" w:color="auto"/>
            <w:right w:val="none" w:sz="0" w:space="0" w:color="auto"/>
          </w:divBdr>
        </w:div>
        <w:div w:id="1047294570">
          <w:marLeft w:val="0"/>
          <w:marRight w:val="0"/>
          <w:marTop w:val="0"/>
          <w:marBottom w:val="225"/>
          <w:divBdr>
            <w:top w:val="none" w:sz="0" w:space="0" w:color="auto"/>
            <w:left w:val="none" w:sz="0" w:space="0" w:color="auto"/>
            <w:bottom w:val="none" w:sz="0" w:space="0" w:color="auto"/>
            <w:right w:val="none" w:sz="0" w:space="0" w:color="auto"/>
          </w:divBdr>
        </w:div>
        <w:div w:id="1942375918">
          <w:marLeft w:val="-450"/>
          <w:marRight w:val="0"/>
          <w:marTop w:val="525"/>
          <w:marBottom w:val="225"/>
          <w:divBdr>
            <w:top w:val="none" w:sz="0" w:space="0" w:color="auto"/>
            <w:left w:val="single" w:sz="48" w:space="0" w:color="4F9CEE"/>
            <w:bottom w:val="none" w:sz="0" w:space="0" w:color="auto"/>
            <w:right w:val="none" w:sz="0" w:space="0" w:color="auto"/>
          </w:divBdr>
        </w:div>
        <w:div w:id="1240943911">
          <w:marLeft w:val="0"/>
          <w:marRight w:val="0"/>
          <w:marTop w:val="0"/>
          <w:marBottom w:val="225"/>
          <w:divBdr>
            <w:top w:val="none" w:sz="0" w:space="0" w:color="auto"/>
            <w:left w:val="none" w:sz="0" w:space="0" w:color="auto"/>
            <w:bottom w:val="none" w:sz="0" w:space="0" w:color="auto"/>
            <w:right w:val="none" w:sz="0" w:space="0" w:color="auto"/>
          </w:divBdr>
        </w:div>
        <w:div w:id="1740441013">
          <w:marLeft w:val="0"/>
          <w:marRight w:val="0"/>
          <w:marTop w:val="0"/>
          <w:marBottom w:val="225"/>
          <w:divBdr>
            <w:top w:val="none" w:sz="0" w:space="0" w:color="auto"/>
            <w:left w:val="none" w:sz="0" w:space="0" w:color="auto"/>
            <w:bottom w:val="none" w:sz="0" w:space="0" w:color="auto"/>
            <w:right w:val="none" w:sz="0" w:space="0" w:color="auto"/>
          </w:divBdr>
        </w:div>
        <w:div w:id="7262678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6%8A%97%E8%82%BF%E7%98%A4%E8%8D%AF%E7%89%A9%E4%B8%B4%E5%BA%8A%E8%AF%95%E9%AA%8C%E6%8A%80%E6%9C%AF%E6%8C%87%E5%AF%BC%E5%8E%9F%E5%88%99/2871506" TargetMode="External"/><Relationship Id="rId18" Type="http://schemas.openxmlformats.org/officeDocument/2006/relationships/hyperlink" Target="https://baike.baidu.com/item/%E7%94%9F%E5%91%BD" TargetMode="External"/><Relationship Id="rId26" Type="http://schemas.openxmlformats.org/officeDocument/2006/relationships/hyperlink" Target="https://baike.baidu.com/item/%E6%96%B9%E6%B3%95" TargetMode="External"/><Relationship Id="rId39" Type="http://schemas.openxmlformats.org/officeDocument/2006/relationships/hyperlink" Target="https://baike.baidu.com/item/%E8%8D%AF%E4%BB%A3%E5%8A%A8%E5%8A%9B%E5%AD%A6" TargetMode="External"/><Relationship Id="rId21" Type="http://schemas.openxmlformats.org/officeDocument/2006/relationships/hyperlink" Target="https://baike.baidu.com/item/%E8%AF%84%E4%BC%B0" TargetMode="External"/><Relationship Id="rId34" Type="http://schemas.openxmlformats.org/officeDocument/2006/relationships/hyperlink" Target="https://baike.baidu.com/item/%E6%BF%80%E7%B4%A0" TargetMode="External"/><Relationship Id="rId42" Type="http://schemas.openxmlformats.org/officeDocument/2006/relationships/hyperlink" Target="https://baike.baidu.com/item/%E4%B8%AD%E6%9C%9F" TargetMode="External"/><Relationship Id="rId47" Type="http://schemas.openxmlformats.org/officeDocument/2006/relationships/hyperlink" Target="https://baike.baidu.com/item/%E4%BC%A6%E7%90%86" TargetMode="External"/><Relationship Id="rId50" Type="http://schemas.openxmlformats.org/officeDocument/2006/relationships/hyperlink" Target="https://baike.baidu.com/item/%E5%88%86%E5%AD%90" TargetMode="External"/><Relationship Id="rId55" Type="http://schemas.openxmlformats.org/officeDocument/2006/relationships/hyperlink" Target="https://baike.baidu.com/item/%E5%8A%A8%E5%8A%9B%E5%AD%A6" TargetMode="External"/><Relationship Id="rId63" Type="http://schemas.openxmlformats.org/officeDocument/2006/relationships/hyperlink" Target="https://baike.baidu.com/item/%E7%BB%BC%E5%90%88" TargetMode="External"/><Relationship Id="rId68" Type="http://schemas.openxmlformats.org/officeDocument/2006/relationships/hyperlink" Target="https://baike.baidu.com/item/%E8%8D%AF%E7%89%A9%E5%90%B8%E6%94%B6" TargetMode="External"/><Relationship Id="rId76" Type="http://schemas.openxmlformats.org/officeDocument/2006/relationships/hyperlink" Target="https://baike.baidu.com/item/%E4%B8%8B%E5%8F%96" TargetMode="External"/><Relationship Id="rId84" Type="http://schemas.openxmlformats.org/officeDocument/2006/relationships/hyperlink" Target="https://baike.baidu.com/item/%E6%85%A2%E6%80%A7%E6%AF%92%E6%80%A7" TargetMode="External"/><Relationship Id="rId89" Type="http://schemas.openxmlformats.org/officeDocument/2006/relationships/fontTable" Target="fontTable.xml"/><Relationship Id="rId7" Type="http://schemas.openxmlformats.org/officeDocument/2006/relationships/hyperlink" Target="https://baike.baidu.com/item/%E8%82%BF%E7%98%A4" TargetMode="External"/><Relationship Id="rId71" Type="http://schemas.openxmlformats.org/officeDocument/2006/relationships/hyperlink" Target="https://baike.baidu.com/item/%E6%B6%88%E9%80%80" TargetMode="External"/><Relationship Id="rId2" Type="http://schemas.openxmlformats.org/officeDocument/2006/relationships/styles" Target="styles.xml"/><Relationship Id="rId16" Type="http://schemas.openxmlformats.org/officeDocument/2006/relationships/hyperlink" Target="https://baike.baidu.com/item/%E6%8A%97%E8%82%BF%E7%98%A4%E8%8D%AF%E7%89%A9%E4%B8%B4%E5%BA%8A%E8%AF%95%E9%AA%8C%E6%8A%80%E6%9C%AF%E6%8C%87%E5%AF%BC%E5%8E%9F%E5%88%99/2871506" TargetMode="External"/><Relationship Id="rId29" Type="http://schemas.openxmlformats.org/officeDocument/2006/relationships/hyperlink" Target="https://baike.baidu.com/item/%E7%94%9F%E7%89%A9%E5%88%B6%E5%93%81" TargetMode="External"/><Relationship Id="rId11" Type="http://schemas.openxmlformats.org/officeDocument/2006/relationships/hyperlink" Target="https://baike.baidu.com/item/%E6%8A%97%E8%82%BF%E7%98%A4%E8%8D%AF%E7%89%A9%E4%B8%B4%E5%BA%8A%E8%AF%95%E9%AA%8C%E6%8A%80%E6%9C%AF%E6%8C%87%E5%AF%BC%E5%8E%9F%E5%88%99/2871506" TargetMode="External"/><Relationship Id="rId24" Type="http://schemas.openxmlformats.org/officeDocument/2006/relationships/hyperlink" Target="https://baike.baidu.com/item/%E4%BC%A0%E7%BB%9F" TargetMode="External"/><Relationship Id="rId32" Type="http://schemas.openxmlformats.org/officeDocument/2006/relationships/hyperlink" Target="https://baike.baidu.com/item/%E6%8A%91%E5%88%B6" TargetMode="External"/><Relationship Id="rId37" Type="http://schemas.openxmlformats.org/officeDocument/2006/relationships/hyperlink" Target="https://baike.baidu.com/item/%E7%A7%91%E5%AD%A6" TargetMode="External"/><Relationship Id="rId40" Type="http://schemas.openxmlformats.org/officeDocument/2006/relationships/hyperlink" Target="https://baike.baidu.com/item/%E5%90%8E%E6%9C%9F" TargetMode="External"/><Relationship Id="rId45" Type="http://schemas.openxmlformats.org/officeDocument/2006/relationships/hyperlink" Target="https://baike.baidu.com/item/%E5%A4%A7%E6%AF%92" TargetMode="External"/><Relationship Id="rId53" Type="http://schemas.openxmlformats.org/officeDocument/2006/relationships/hyperlink" Target="https://baike.baidu.com/item/%E9%80%82%E5%BA%94" TargetMode="External"/><Relationship Id="rId58" Type="http://schemas.openxmlformats.org/officeDocument/2006/relationships/hyperlink" Target="https://baike.baidu.com/item/%E6%AF%92%E7%90%86%E5%AD%A6" TargetMode="External"/><Relationship Id="rId66" Type="http://schemas.openxmlformats.org/officeDocument/2006/relationships/hyperlink" Target="https://baike.baidu.com/item/%E6%8E%92%E6%B3%84" TargetMode="External"/><Relationship Id="rId74" Type="http://schemas.openxmlformats.org/officeDocument/2006/relationships/hyperlink" Target="https://baike.baidu.com/item/%E7%BB%86%E8%83%9E%E6%A0%AA" TargetMode="External"/><Relationship Id="rId79" Type="http://schemas.openxmlformats.org/officeDocument/2006/relationships/hyperlink" Target="https://baike.baidu.com/item/%E6%8B%AE%E6%8A%97%E4%BD%9C%E7%94%A8" TargetMode="External"/><Relationship Id="rId87" Type="http://schemas.openxmlformats.org/officeDocument/2006/relationships/hyperlink" Target="https://baike.baidu.com/item/%E7%BB%93%E6%9E%84" TargetMode="External"/><Relationship Id="rId5" Type="http://schemas.openxmlformats.org/officeDocument/2006/relationships/footnotes" Target="footnotes.xml"/><Relationship Id="rId61" Type="http://schemas.openxmlformats.org/officeDocument/2006/relationships/hyperlink" Target="https://baike.baidu.com/item/%E9%85%AA%E6%B0%A8%E9%85%B8" TargetMode="External"/><Relationship Id="rId82" Type="http://schemas.openxmlformats.org/officeDocument/2006/relationships/hyperlink" Target="https://baike.baidu.com/item/%E7%8B%AC%E7%AB%8B" TargetMode="External"/><Relationship Id="rId90" Type="http://schemas.openxmlformats.org/officeDocument/2006/relationships/theme" Target="theme/theme1.xml"/><Relationship Id="rId19" Type="http://schemas.openxmlformats.org/officeDocument/2006/relationships/hyperlink" Target="https://baike.baidu.com/item/%E6%B2%BB%E6%84%88" TargetMode="External"/><Relationship Id="rId4" Type="http://schemas.openxmlformats.org/officeDocument/2006/relationships/webSettings" Target="webSettings.xml"/><Relationship Id="rId9" Type="http://schemas.openxmlformats.org/officeDocument/2006/relationships/hyperlink" Target="https://baike.baidu.com/item/%E8%82%BF%E7%98%A4" TargetMode="External"/><Relationship Id="rId14" Type="http://schemas.openxmlformats.org/officeDocument/2006/relationships/hyperlink" Target="https://baike.baidu.com/item/%E6%8A%97%E8%82%BF%E7%98%A4%E8%8D%AF%E7%89%A9%E4%B8%B4%E5%BA%8A%E8%AF%95%E9%AA%8C%E6%8A%80%E6%9C%AF%E6%8C%87%E5%AF%BC%E5%8E%9F%E5%88%99/2871506" TargetMode="External"/><Relationship Id="rId22" Type="http://schemas.openxmlformats.org/officeDocument/2006/relationships/hyperlink" Target="https://baike.baidu.com/item/%E7%94%9F%E7%89%A9%E5%AD%A6" TargetMode="External"/><Relationship Id="rId27" Type="http://schemas.openxmlformats.org/officeDocument/2006/relationships/hyperlink" Target="https://baike.baidu.com/item/%E8%8D%AF%E7%89%A9%E4%B8%B4%E5%BA%8A%E8%AF%95%E9%AA%8C%E8%B4%A8%E9%87%8F%E7%AE%A1%E7%90%86%E8%A7%84%E8%8C%83" TargetMode="External"/><Relationship Id="rId30" Type="http://schemas.openxmlformats.org/officeDocument/2006/relationships/hyperlink" Target="https://baike.baidu.com/item/%E4%B8%AD%E8%8D%AF" TargetMode="External"/><Relationship Id="rId35" Type="http://schemas.openxmlformats.org/officeDocument/2006/relationships/hyperlink" Target="https://baike.baidu.com/item/%E5%88%86%E6%9E%90" TargetMode="External"/><Relationship Id="rId43" Type="http://schemas.openxmlformats.org/officeDocument/2006/relationships/hyperlink" Target="https://baike.baidu.com/item/%E4%BF%A1%E6%81%AF" TargetMode="External"/><Relationship Id="rId48" Type="http://schemas.openxmlformats.org/officeDocument/2006/relationships/hyperlink" Target="https://baike.baidu.com/item/%E9%A2%84%E6%9C%9F" TargetMode="External"/><Relationship Id="rId56" Type="http://schemas.openxmlformats.org/officeDocument/2006/relationships/hyperlink" Target="https://baike.baidu.com/item/%E6%80%A5%E6%80%A7%E6%AF%92%E6%80%A7" TargetMode="External"/><Relationship Id="rId64" Type="http://schemas.openxmlformats.org/officeDocument/2006/relationships/hyperlink" Target="https://baike.baidu.com/item/%E8%93%84%E7%A7%AF" TargetMode="External"/><Relationship Id="rId69" Type="http://schemas.openxmlformats.org/officeDocument/2006/relationships/hyperlink" Target="https://baike.baidu.com/item/%E8%A1%80%E6%B6%B2" TargetMode="External"/><Relationship Id="rId77" Type="http://schemas.openxmlformats.org/officeDocument/2006/relationships/hyperlink" Target="https://baike.baidu.com/item/%E5%8D%8A%E8%A1%B0%E6%9C%9F" TargetMode="External"/><Relationship Id="rId8" Type="http://schemas.openxmlformats.org/officeDocument/2006/relationships/hyperlink" Target="https://baike.baidu.com/item/%E8%8D%AF%E7%89%A9" TargetMode="External"/><Relationship Id="rId51" Type="http://schemas.openxmlformats.org/officeDocument/2006/relationships/hyperlink" Target="https://baike.baidu.com/item/%E6%AF%92%E8%8D%AF" TargetMode="External"/><Relationship Id="rId72" Type="http://schemas.openxmlformats.org/officeDocument/2006/relationships/hyperlink" Target="https://baike.baidu.com/item/%E5%88%86%E7%A6%BB" TargetMode="External"/><Relationship Id="rId80" Type="http://schemas.openxmlformats.org/officeDocument/2006/relationships/hyperlink" Target="https://baike.baidu.com/item/%E6%A6%82%E7%8E%87" TargetMode="External"/><Relationship Id="rId85" Type="http://schemas.openxmlformats.org/officeDocument/2006/relationships/hyperlink" Target="https://baike.baidu.com/item/%E6%AF%94%E8%BE%83" TargetMode="External"/><Relationship Id="rId3" Type="http://schemas.openxmlformats.org/officeDocument/2006/relationships/settings" Target="settings.xml"/><Relationship Id="rId12" Type="http://schemas.openxmlformats.org/officeDocument/2006/relationships/hyperlink" Target="https://baike.baidu.com/item/%E6%8A%97%E8%82%BF%E7%98%A4%E8%8D%AF%E7%89%A9%E4%B8%B4%E5%BA%8A%E8%AF%95%E9%AA%8C%E6%8A%80%E6%9C%AF%E6%8C%87%E5%AF%BC%E5%8E%9F%E5%88%99/2871506" TargetMode="External"/><Relationship Id="rId17" Type="http://schemas.openxmlformats.org/officeDocument/2006/relationships/hyperlink" Target="https://baike.baidu.com/item/%E6%81%B6%E6%80%A7%E8%82%BF%E7%98%A4" TargetMode="External"/><Relationship Id="rId25" Type="http://schemas.openxmlformats.org/officeDocument/2006/relationships/hyperlink" Target="https://baike.baidu.com/item/%E7%BB%86%E8%83%9E" TargetMode="External"/><Relationship Id="rId33" Type="http://schemas.openxmlformats.org/officeDocument/2006/relationships/hyperlink" Target="https://baike.baidu.com/item/%E5%8F%8D%E5%BA%94" TargetMode="External"/><Relationship Id="rId38" Type="http://schemas.openxmlformats.org/officeDocument/2006/relationships/hyperlink" Target="https://baike.baidu.com/item/%E8%80%90%E5%8F%97%E6%80%A7" TargetMode="External"/><Relationship Id="rId46" Type="http://schemas.openxmlformats.org/officeDocument/2006/relationships/hyperlink" Target="https://baike.baidu.com/item/%E4%BA%BA%E4%BD%93" TargetMode="External"/><Relationship Id="rId59" Type="http://schemas.openxmlformats.org/officeDocument/2006/relationships/hyperlink" Target="https://baike.baidu.com/item/%E8%8D%AF%E6%95%88%E5%8A%A8%E5%8A%9B%E5%AD%A6" TargetMode="External"/><Relationship Id="rId67" Type="http://schemas.openxmlformats.org/officeDocument/2006/relationships/hyperlink" Target="https://baike.baidu.com/item/%E8%8D%AF%E7%89%A9%E5%88%86%E5%B8%83" TargetMode="External"/><Relationship Id="rId20" Type="http://schemas.openxmlformats.org/officeDocument/2006/relationships/hyperlink" Target="https://baike.baidu.com/item/%E9%9C%80%E8%A6%81" TargetMode="External"/><Relationship Id="rId41" Type="http://schemas.openxmlformats.org/officeDocument/2006/relationships/hyperlink" Target="https://baike.baidu.com/item/%E5%91%A8%E6%9C%9F" TargetMode="External"/><Relationship Id="rId54" Type="http://schemas.openxmlformats.org/officeDocument/2006/relationships/hyperlink" Target="https://baike.baidu.com/item/%E6%A0%B7%E6%9C%AC" TargetMode="External"/><Relationship Id="rId62" Type="http://schemas.openxmlformats.org/officeDocument/2006/relationships/hyperlink" Target="https://baike.baidu.com/item/%E4%BB%A3%E8%B0%A2" TargetMode="External"/><Relationship Id="rId70" Type="http://schemas.openxmlformats.org/officeDocument/2006/relationships/hyperlink" Target="https://baike.baidu.com/item/%E8%A1%80%E6%B8%85" TargetMode="External"/><Relationship Id="rId75" Type="http://schemas.openxmlformats.org/officeDocument/2006/relationships/hyperlink" Target="https://baike.baidu.com/item/%E4%B8%B4%E5%BA%8A%E8%8D%AF%E7%90%86%E5%AD%A6" TargetMode="External"/><Relationship Id="rId83" Type="http://schemas.openxmlformats.org/officeDocument/2006/relationships/hyperlink" Target="https://baike.baidu.com/item/%E7%85%A7%E8%8D%AF" TargetMode="External"/><Relationship Id="rId88" Type="http://schemas.openxmlformats.org/officeDocument/2006/relationships/hyperlink" Target="https://baike.baidu.com/item/%E7%A8%8B%E5%BA%8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ike.baidu.com/item/%E6%8A%97%E8%82%BF%E7%98%A4%E8%8D%AF%E7%89%A9%E4%B8%B4%E5%BA%8A%E8%AF%95%E9%AA%8C%E6%8A%80%E6%9C%AF%E6%8C%87%E5%AF%BC%E5%8E%9F%E5%88%99/2871506" TargetMode="External"/><Relationship Id="rId23" Type="http://schemas.openxmlformats.org/officeDocument/2006/relationships/hyperlink" Target="https://baike.baidu.com/item/%E4%BD%9C%E7%94%A8" TargetMode="External"/><Relationship Id="rId28" Type="http://schemas.openxmlformats.org/officeDocument/2006/relationships/hyperlink" Target="https://baike.baidu.com/item/%E5%8C%96%E5%90%88%E7%89%A9" TargetMode="External"/><Relationship Id="rId36" Type="http://schemas.openxmlformats.org/officeDocument/2006/relationships/hyperlink" Target="https://baike.baidu.com/item/%E6%B3%A8%E6%84%8F" TargetMode="External"/><Relationship Id="rId49" Type="http://schemas.openxmlformats.org/officeDocument/2006/relationships/hyperlink" Target="https://baike.baidu.com/item/%E8%BD%AC%E7%A7%BB" TargetMode="External"/><Relationship Id="rId57" Type="http://schemas.openxmlformats.org/officeDocument/2006/relationships/hyperlink" Target="https://baike.baidu.com/item/%E8%8D%AF%E6%AF%92" TargetMode="External"/><Relationship Id="rId10" Type="http://schemas.openxmlformats.org/officeDocument/2006/relationships/hyperlink" Target="https://baike.baidu.com/item/%E8%8D%AF%E7%89%A9" TargetMode="External"/><Relationship Id="rId31" Type="http://schemas.openxmlformats.org/officeDocument/2006/relationships/hyperlink" Target="https://baike.baidu.com/item/%E4%BC%A0%E5%AF%BC" TargetMode="External"/><Relationship Id="rId44" Type="http://schemas.openxmlformats.org/officeDocument/2006/relationships/hyperlink" Target="https://baike.baidu.com/item/%E5%89%8D%E6%9C%9F" TargetMode="External"/><Relationship Id="rId52" Type="http://schemas.openxmlformats.org/officeDocument/2006/relationships/hyperlink" Target="https://baike.baidu.com/item/%E7%82%B9%E8%8D%AF" TargetMode="External"/><Relationship Id="rId60" Type="http://schemas.openxmlformats.org/officeDocument/2006/relationships/hyperlink" Target="https://baike.baidu.com/item/%E6%AF%92%E6%80%A7%E5%8F%8D%E5%BA%94" TargetMode="External"/><Relationship Id="rId65" Type="http://schemas.openxmlformats.org/officeDocument/2006/relationships/hyperlink" Target="https://baike.baidu.com/item/%E6%80%A7%E6%AF%94" TargetMode="External"/><Relationship Id="rId73" Type="http://schemas.openxmlformats.org/officeDocument/2006/relationships/hyperlink" Target="https://baike.baidu.com/item/%E7%97%85%E7%90%86%E5%AD%A6" TargetMode="External"/><Relationship Id="rId78" Type="http://schemas.openxmlformats.org/officeDocument/2006/relationships/hyperlink" Target="https://baike.baidu.com/item/%E5%AE%89%E6%85%B0%E5%89%82" TargetMode="External"/><Relationship Id="rId81" Type="http://schemas.openxmlformats.org/officeDocument/2006/relationships/hyperlink" Target="https://baike.baidu.com/item/%E5%90%8C%E6%83%85" TargetMode="External"/><Relationship Id="rId86" Type="http://schemas.openxmlformats.org/officeDocument/2006/relationships/hyperlink" Target="https://baike.baidu.com/item/%E9%95%BF%E7%94%9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3768</Words>
  <Characters>21482</Characters>
  <Application>Microsoft Office Word</Application>
  <DocSecurity>0</DocSecurity>
  <Lines>179</Lines>
  <Paragraphs>50</Paragraphs>
  <ScaleCrop>false</ScaleCrop>
  <Company>Hewlett-Packard Company</Company>
  <LinksUpToDate>false</LinksUpToDate>
  <CharactersWithSpaces>25200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2</cp:revision>
  <dcterms:created xsi:type="dcterms:W3CDTF">2018-12-24T06:44:00Z</dcterms:created>
  <dcterms:modified xsi:type="dcterms:W3CDTF">2019-04-28T08:50:00Z</dcterms:modified>
</cp:coreProperties>
</file>