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8F" w:rsidRPr="003F2312" w:rsidRDefault="009D488F" w:rsidP="009D488F">
      <w:pPr>
        <w:widowControl/>
        <w:jc w:val="center"/>
        <w:rPr>
          <w:rFonts w:ascii="方正小标宋简体" w:eastAsia="方正小标宋简体" w:hAnsi="宋体" w:cs="宋体"/>
          <w:kern w:val="0"/>
          <w:sz w:val="44"/>
          <w:szCs w:val="44"/>
        </w:rPr>
      </w:pPr>
      <w:r w:rsidRPr="003F2312">
        <w:rPr>
          <w:rFonts w:ascii="方正小标宋简体" w:eastAsia="方正小标宋简体" w:hAnsi="宋体" w:cs="宋体" w:hint="eastAsia"/>
          <w:bCs/>
          <w:kern w:val="0"/>
          <w:sz w:val="44"/>
          <w:szCs w:val="44"/>
        </w:rPr>
        <w:t>三级公立医院绩效考核指标</w:t>
      </w:r>
    </w:p>
    <w:tbl>
      <w:tblPr>
        <w:tblW w:w="8887" w:type="dxa"/>
        <w:jc w:val="center"/>
        <w:tblBorders>
          <w:insideH w:val="outset" w:sz="6" w:space="0" w:color="auto"/>
          <w:insideV w:val="outset" w:sz="6" w:space="0" w:color="auto"/>
        </w:tblBorders>
        <w:tblCellMar>
          <w:top w:w="15" w:type="dxa"/>
          <w:left w:w="15" w:type="dxa"/>
          <w:bottom w:w="15" w:type="dxa"/>
          <w:right w:w="15" w:type="dxa"/>
        </w:tblCellMar>
        <w:tblLook w:val="04A0"/>
      </w:tblPr>
      <w:tblGrid>
        <w:gridCol w:w="1070"/>
        <w:gridCol w:w="1066"/>
        <w:gridCol w:w="1928"/>
        <w:gridCol w:w="1138"/>
        <w:gridCol w:w="3685"/>
      </w:tblGrid>
      <w:tr w:rsidR="009D488F" w:rsidRPr="001B2501" w:rsidTr="0070117C">
        <w:trPr>
          <w:jc w:val="center"/>
        </w:trPr>
        <w:tc>
          <w:tcPr>
            <w:tcW w:w="10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一级指标</w:t>
            </w:r>
          </w:p>
        </w:tc>
        <w:tc>
          <w:tcPr>
            <w:tcW w:w="10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二级指标</w:t>
            </w:r>
          </w:p>
        </w:tc>
        <w:tc>
          <w:tcPr>
            <w:tcW w:w="19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三级指标</w:t>
            </w:r>
          </w:p>
        </w:tc>
        <w:tc>
          <w:tcPr>
            <w:tcW w:w="11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指标性质</w:t>
            </w:r>
          </w:p>
        </w:tc>
        <w:tc>
          <w:tcPr>
            <w:tcW w:w="36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指标说明</w:t>
            </w:r>
          </w:p>
        </w:tc>
      </w:tr>
      <w:tr w:rsidR="009D488F" w:rsidRPr="001B2501" w:rsidTr="0070117C">
        <w:trPr>
          <w:jc w:val="center"/>
        </w:trPr>
        <w:tc>
          <w:tcPr>
            <w:tcW w:w="107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一、医疗质量</w:t>
            </w: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（一）功能定位</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1.门诊人次数与出院人次数比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门诊患者人次数/同期出院患者人次数（急诊、健康体检者不计入）。</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2.下转患者人次数（门急诊、住院）</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本年度向二级医院或者基层医疗机构下转患者人次数（门急诊、住院）。</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3.日间手术占择期手术比例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日间手术台次数</w:t>
            </w:r>
            <w:r w:rsidRPr="001B2501">
              <w:rPr>
                <w:rFonts w:cs="Calibri"/>
                <w:kern w:val="0"/>
                <w:szCs w:val="21"/>
              </w:rPr>
              <w:t>/</w:t>
            </w:r>
            <w:r w:rsidRPr="001B2501">
              <w:rPr>
                <w:rFonts w:ascii="宋体" w:hAnsi="宋体" w:cs="宋体" w:hint="eastAsia"/>
                <w:kern w:val="0"/>
                <w:szCs w:val="21"/>
              </w:rPr>
              <w:t>同期出院患者择期手术总台次数×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4.出院患者手术占比▲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出院患者手术台次数</w:t>
            </w:r>
            <w:r w:rsidRPr="001B2501">
              <w:rPr>
                <w:rFonts w:cs="Calibri"/>
                <w:kern w:val="0"/>
                <w:szCs w:val="21"/>
              </w:rPr>
              <w:t>/</w:t>
            </w:r>
            <w:r w:rsidRPr="001B2501">
              <w:rPr>
                <w:rFonts w:ascii="宋体" w:hAnsi="宋体" w:cs="宋体" w:hint="eastAsia"/>
                <w:kern w:val="0"/>
                <w:szCs w:val="21"/>
              </w:rPr>
              <w:t>同期出院患者总人次数×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病案首页。</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5.出院患者微创手术占比▲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出院患者微创手术台次数</w:t>
            </w:r>
            <w:r w:rsidRPr="001B2501">
              <w:rPr>
                <w:rFonts w:cs="Calibri"/>
                <w:kern w:val="0"/>
                <w:szCs w:val="21"/>
              </w:rPr>
              <w:t>/</w:t>
            </w:r>
            <w:r w:rsidRPr="001B2501">
              <w:rPr>
                <w:rFonts w:ascii="宋体" w:hAnsi="宋体" w:cs="宋体" w:hint="eastAsia"/>
                <w:kern w:val="0"/>
                <w:szCs w:val="21"/>
              </w:rPr>
              <w:t>同期出院患者手术台次数×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病案首页。</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6.出院患者四级手术比例▲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出院患者四级手术台次数/同期出院患者手术台次数×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病案首页。</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7.特需医疗服务占比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特需医疗服务量/同期全部医疗服务量×</w:t>
            </w:r>
            <w:r w:rsidRPr="001B2501">
              <w:rPr>
                <w:rFonts w:cs="Calibri"/>
                <w:kern w:val="0"/>
                <w:szCs w:val="21"/>
              </w:rPr>
              <w:t>100%</w:t>
            </w:r>
            <w:r w:rsidRPr="001B2501">
              <w:rPr>
                <w:rFonts w:ascii="宋体" w:hAnsi="宋体" w:cs="宋体" w:hint="eastAsia"/>
                <w:kern w:val="0"/>
                <w:szCs w:val="21"/>
              </w:rPr>
              <w:t>，特需医疗服务收入/同期全部医疗服务收入×</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（二）质量安全</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8.手术患者并发症发生率▲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手术患者并发症发生例数</w:t>
            </w:r>
            <w:r w:rsidRPr="001B2501">
              <w:rPr>
                <w:rFonts w:cs="Calibri"/>
                <w:kern w:val="0"/>
                <w:szCs w:val="21"/>
              </w:rPr>
              <w:t>/</w:t>
            </w:r>
            <w:r w:rsidRPr="001B2501">
              <w:rPr>
                <w:rFonts w:ascii="宋体" w:hAnsi="宋体" w:cs="宋体" w:hint="eastAsia"/>
                <w:kern w:val="0"/>
                <w:szCs w:val="21"/>
              </w:rPr>
              <w:t>同期出院的手术患者人数×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lastRenderedPageBreak/>
              <w:t>指标来源：</w:t>
            </w:r>
            <w:r w:rsidRPr="001B2501">
              <w:rPr>
                <w:rFonts w:ascii="宋体" w:hAnsi="宋体" w:cs="宋体" w:hint="eastAsia"/>
                <w:kern w:val="0"/>
                <w:szCs w:val="21"/>
              </w:rPr>
              <w:t>病案首页。</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9. I类切口手术部位感染率▲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I类切口手术部位感染人次数/同期I类切口手术台次数×100%。</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病案首页。</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10.单病种质量控制▲</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符合单病种质量控制标准。</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病案首页。</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11.大型医用设备检查阳性率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大型医用设备检查阳性数</w:t>
            </w:r>
            <w:r w:rsidRPr="001B2501">
              <w:rPr>
                <w:rFonts w:cs="Calibri"/>
                <w:kern w:val="0"/>
                <w:szCs w:val="21"/>
              </w:rPr>
              <w:t>/</w:t>
            </w:r>
            <w:r w:rsidRPr="001B2501">
              <w:rPr>
                <w:rFonts w:ascii="宋体" w:hAnsi="宋体" w:cs="宋体" w:hint="eastAsia"/>
                <w:kern w:val="0"/>
                <w:szCs w:val="21"/>
              </w:rPr>
              <w:t>同期大型医用设备检查人次数×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12.大型医用设备维修保养及质量控制管理</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定性</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引导医院关注医用设备的维修保养和质量控制，配置合适维修人员和维修检测设备。评价内容包括但不限于：（</w:t>
            </w:r>
            <w:r w:rsidRPr="001B2501">
              <w:rPr>
                <w:rFonts w:cs="Calibri"/>
                <w:kern w:val="0"/>
                <w:szCs w:val="21"/>
              </w:rPr>
              <w:t>1</w:t>
            </w:r>
            <w:r w:rsidRPr="001B2501">
              <w:rPr>
                <w:rFonts w:ascii="宋体" w:hAnsi="宋体" w:cs="宋体" w:hint="eastAsia"/>
                <w:kern w:val="0"/>
                <w:szCs w:val="21"/>
              </w:rPr>
              <w:t>）配置合理维修人员和维修场地，涉及有毒有害作业应有合适的维修场所和有效防护；（</w:t>
            </w:r>
            <w:r w:rsidRPr="001B2501">
              <w:rPr>
                <w:rFonts w:cs="Calibri"/>
                <w:kern w:val="0"/>
                <w:szCs w:val="21"/>
              </w:rPr>
              <w:t>2</w:t>
            </w:r>
            <w:r w:rsidRPr="001B2501">
              <w:rPr>
                <w:rFonts w:ascii="宋体" w:hAnsi="宋体" w:cs="宋体" w:hint="eastAsia"/>
                <w:kern w:val="0"/>
                <w:szCs w:val="21"/>
              </w:rPr>
              <w:t>）制定急救、生命支持类等设备的预防性维护维修计划；（</w:t>
            </w:r>
            <w:r w:rsidRPr="001B2501">
              <w:rPr>
                <w:rFonts w:cs="Calibri"/>
                <w:kern w:val="0"/>
                <w:szCs w:val="21"/>
              </w:rPr>
              <w:t>3</w:t>
            </w:r>
            <w:r w:rsidRPr="001B2501">
              <w:rPr>
                <w:rFonts w:ascii="宋体" w:hAnsi="宋体" w:cs="宋体" w:hint="eastAsia"/>
                <w:kern w:val="0"/>
                <w:szCs w:val="21"/>
              </w:rPr>
              <w:t>）开展日常保养和维护，有巡检、保养、维修等相关记录及设备管理部门对临床使用部门的监管、培训记录；（</w:t>
            </w:r>
            <w:r w:rsidRPr="001B2501">
              <w:rPr>
                <w:rFonts w:cs="Calibri"/>
                <w:kern w:val="0"/>
                <w:szCs w:val="21"/>
              </w:rPr>
              <w:t>4</w:t>
            </w:r>
            <w:r w:rsidRPr="001B2501">
              <w:rPr>
                <w:rFonts w:ascii="宋体" w:hAnsi="宋体" w:cs="宋体" w:hint="eastAsia"/>
                <w:kern w:val="0"/>
                <w:szCs w:val="21"/>
              </w:rPr>
              <w:t>）配置必备的检测和质量控制设备，医学设备管理部门定期对设备特别是急救、生命支持类设备进行预防性维护，确保在用设备完好，有记录和标识，并对发现的问题及时处理。</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13.通过国家室间质量评价的临床检验项目数▲</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医院临床检验项目中通过国家临床检验中心组织的室间质量评价项目数量。</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国家卫生健康委。</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14.低风险组病例死亡率▲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低风险组死亡例数</w:t>
            </w:r>
            <w:r w:rsidRPr="001B2501">
              <w:rPr>
                <w:rFonts w:cs="Calibri"/>
                <w:kern w:val="0"/>
                <w:szCs w:val="21"/>
              </w:rPr>
              <w:t>/</w:t>
            </w:r>
            <w:r w:rsidRPr="001B2501">
              <w:rPr>
                <w:rFonts w:ascii="宋体" w:hAnsi="宋体" w:cs="宋体" w:hint="eastAsia"/>
                <w:kern w:val="0"/>
                <w:szCs w:val="21"/>
              </w:rPr>
              <w:t>低风险组病例数×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病案首页。</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15.优质护理服务病房覆盖率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全院已经开展优质护理服务的病房总数</w:t>
            </w:r>
            <w:r w:rsidRPr="001B2501">
              <w:rPr>
                <w:rFonts w:cs="Calibri"/>
                <w:kern w:val="0"/>
                <w:szCs w:val="21"/>
              </w:rPr>
              <w:t>/</w:t>
            </w:r>
            <w:r w:rsidRPr="001B2501">
              <w:rPr>
                <w:rFonts w:ascii="宋体" w:hAnsi="宋体" w:cs="宋体" w:hint="eastAsia"/>
                <w:kern w:val="0"/>
                <w:szCs w:val="21"/>
              </w:rPr>
              <w:t>全院病房总数×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（三）</w:t>
            </w:r>
          </w:p>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合理用药</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16.点评处方占处方总数的比例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点评处方数</w:t>
            </w:r>
            <w:r w:rsidRPr="001B2501">
              <w:rPr>
                <w:rFonts w:cs="Calibri"/>
                <w:kern w:val="0"/>
                <w:szCs w:val="21"/>
              </w:rPr>
              <w:t>/</w:t>
            </w:r>
            <w:r w:rsidRPr="001B2501">
              <w:rPr>
                <w:rFonts w:ascii="宋体" w:hAnsi="宋体" w:cs="宋体" w:hint="eastAsia"/>
                <w:kern w:val="0"/>
                <w:szCs w:val="21"/>
              </w:rPr>
              <w:t>处方总数×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17.抗菌药物使用强度（</w:t>
            </w:r>
            <w:r w:rsidRPr="001B2501">
              <w:rPr>
                <w:rFonts w:cs="Calibri"/>
                <w:kern w:val="0"/>
                <w:szCs w:val="21"/>
              </w:rPr>
              <w:t>DDDs</w:t>
            </w:r>
            <w:r w:rsidRPr="001B2501">
              <w:rPr>
                <w:rFonts w:ascii="宋体" w:hAnsi="宋体" w:cs="宋体" w:hint="eastAsia"/>
                <w:kern w:val="0"/>
                <w:szCs w:val="21"/>
              </w:rPr>
              <w:t>）▲</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本年度住院患者抗菌药物消耗量（累计</w:t>
            </w:r>
            <w:r w:rsidRPr="001B2501">
              <w:rPr>
                <w:rFonts w:cs="Calibri"/>
                <w:kern w:val="0"/>
                <w:szCs w:val="21"/>
              </w:rPr>
              <w:t>DDD</w:t>
            </w:r>
            <w:r w:rsidRPr="001B2501">
              <w:rPr>
                <w:rFonts w:ascii="宋体" w:hAnsi="宋体" w:cs="宋体" w:hint="eastAsia"/>
                <w:kern w:val="0"/>
                <w:szCs w:val="21"/>
              </w:rPr>
              <w:t>数）/同期收治患者人天数×</w:t>
            </w:r>
            <w:r w:rsidRPr="001B2501">
              <w:rPr>
                <w:rFonts w:cs="Calibri"/>
                <w:kern w:val="0"/>
                <w:szCs w:val="21"/>
              </w:rPr>
              <w:t>100</w:t>
            </w:r>
            <w:r w:rsidRPr="001B2501">
              <w:rPr>
                <w:rFonts w:ascii="宋体" w:hAnsi="宋体" w:cs="宋体" w:hint="eastAsia"/>
                <w:kern w:val="0"/>
                <w:szCs w:val="21"/>
              </w:rPr>
              <w:t>。收治患者人天数＝出院患者人次数×出院患者平均住院天数。</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18.门诊患者基本药物处方占比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门诊使用基本药物人次数</w:t>
            </w:r>
            <w:r w:rsidRPr="001B2501">
              <w:rPr>
                <w:rFonts w:cs="Calibri"/>
                <w:kern w:val="0"/>
                <w:szCs w:val="21"/>
              </w:rPr>
              <w:t>/</w:t>
            </w:r>
            <w:r w:rsidRPr="001B2501">
              <w:rPr>
                <w:rFonts w:ascii="宋体" w:hAnsi="宋体" w:cs="宋体" w:hint="eastAsia"/>
                <w:kern w:val="0"/>
                <w:szCs w:val="21"/>
              </w:rPr>
              <w:t>同期门诊诊疗总人次数×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19.住院患者基本药物使用率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出院患者使用基本药物总人次数</w:t>
            </w:r>
            <w:r w:rsidRPr="001B2501">
              <w:rPr>
                <w:rFonts w:cs="Calibri"/>
                <w:kern w:val="0"/>
                <w:szCs w:val="21"/>
              </w:rPr>
              <w:t>/</w:t>
            </w:r>
            <w:r w:rsidRPr="001B2501">
              <w:rPr>
                <w:rFonts w:ascii="宋体" w:hAnsi="宋体" w:cs="宋体" w:hint="eastAsia"/>
                <w:kern w:val="0"/>
                <w:szCs w:val="21"/>
              </w:rPr>
              <w:t>同期出院总人次数×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20.基本药物采购品种数占比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医院采购基本药物品种数</w:t>
            </w:r>
            <w:r w:rsidRPr="001B2501">
              <w:rPr>
                <w:rFonts w:cs="Calibri"/>
                <w:kern w:val="0"/>
                <w:szCs w:val="21"/>
              </w:rPr>
              <w:t>/</w:t>
            </w:r>
            <w:r w:rsidRPr="001B2501">
              <w:rPr>
                <w:rFonts w:ascii="宋体" w:hAnsi="宋体" w:cs="宋体" w:hint="eastAsia"/>
                <w:kern w:val="0"/>
                <w:szCs w:val="21"/>
              </w:rPr>
              <w:t>医院同期采购药物品种总数×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省级招采平台。</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21.国家组织药品集中采购中标药品使用比例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中标药品用量</w:t>
            </w:r>
            <w:r w:rsidRPr="001B2501">
              <w:rPr>
                <w:rFonts w:cs="Calibri"/>
                <w:kern w:val="0"/>
                <w:szCs w:val="21"/>
              </w:rPr>
              <w:t>/</w:t>
            </w:r>
            <w:r w:rsidRPr="001B2501">
              <w:rPr>
                <w:rFonts w:ascii="宋体" w:hAnsi="宋体" w:cs="宋体" w:hint="eastAsia"/>
                <w:kern w:val="0"/>
                <w:szCs w:val="21"/>
              </w:rPr>
              <w:t>同种药品用量×</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（四）</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服务流程</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22.门诊患者平均预约诊疗率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预约诊疗人次数/总诊疗人次数×</w:t>
            </w:r>
            <w:r w:rsidRPr="001B2501">
              <w:rPr>
                <w:rFonts w:cs="Calibri"/>
                <w:kern w:val="0"/>
                <w:szCs w:val="21"/>
              </w:rPr>
              <w:t>100%</w:t>
            </w:r>
            <w:r w:rsidRPr="001B2501">
              <w:rPr>
                <w:rFonts w:ascii="宋体" w:hAnsi="宋体" w:cs="宋体" w:hint="eastAsia"/>
                <w:kern w:val="0"/>
                <w:szCs w:val="21"/>
              </w:rPr>
              <w:t>（急诊人次数不计入）。</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23.门诊患者预约后平均等待时间</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门诊患者按预约时间到达医院后至进入诊室前的等待时间。</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24.电子病历应用功能水平分级▲</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定性</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按照国家卫生健康委电子病历应用功能水平分级标准评估。</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国家卫生健康委。</w:t>
            </w:r>
          </w:p>
        </w:tc>
      </w:tr>
      <w:tr w:rsidR="009D488F" w:rsidRPr="001B2501" w:rsidTr="0070117C">
        <w:trPr>
          <w:jc w:val="center"/>
        </w:trPr>
        <w:tc>
          <w:tcPr>
            <w:tcW w:w="107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二、运营效率</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 </w:t>
            </w: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（五）</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资源效率</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25.每名执业医师日均住院工作负担</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全年实际占用总床日数</w:t>
            </w:r>
            <w:r w:rsidRPr="001B2501">
              <w:rPr>
                <w:rFonts w:cs="Calibri"/>
                <w:kern w:val="0"/>
                <w:szCs w:val="21"/>
              </w:rPr>
              <w:t>/</w:t>
            </w:r>
            <w:r w:rsidRPr="001B2501">
              <w:rPr>
                <w:rFonts w:ascii="宋体" w:hAnsi="宋体" w:cs="宋体" w:hint="eastAsia"/>
                <w:kern w:val="0"/>
                <w:szCs w:val="21"/>
              </w:rPr>
              <w:t>医院平均执业（助理）医师人数</w:t>
            </w:r>
            <w:r w:rsidRPr="001B2501">
              <w:rPr>
                <w:rFonts w:cs="Calibri"/>
                <w:kern w:val="0"/>
                <w:szCs w:val="21"/>
              </w:rPr>
              <w:t>/365</w:t>
            </w:r>
            <w:r w:rsidRPr="001B2501">
              <w:rPr>
                <w:rFonts w:ascii="宋体" w:hAnsi="宋体" w:cs="宋体" w:hint="eastAsia"/>
                <w:kern w:val="0"/>
                <w:szCs w:val="21"/>
              </w:rPr>
              <w:t>。医院平均执业（助理）医师人数</w:t>
            </w:r>
            <w:r w:rsidRPr="001B2501">
              <w:rPr>
                <w:rFonts w:cs="Calibri"/>
                <w:kern w:val="0"/>
                <w:szCs w:val="21"/>
              </w:rPr>
              <w:t>=</w:t>
            </w:r>
            <w:r w:rsidRPr="001B2501">
              <w:rPr>
                <w:rFonts w:ascii="宋体" w:hAnsi="宋体" w:cs="宋体" w:hint="eastAsia"/>
                <w:kern w:val="0"/>
                <w:szCs w:val="21"/>
              </w:rPr>
              <w:t>（本年度人数</w:t>
            </w:r>
            <w:r w:rsidRPr="001B2501">
              <w:rPr>
                <w:rFonts w:cs="Calibri"/>
                <w:kern w:val="0"/>
                <w:szCs w:val="21"/>
              </w:rPr>
              <w:t>+</w:t>
            </w:r>
            <w:r w:rsidRPr="001B2501">
              <w:rPr>
                <w:rFonts w:ascii="宋体" w:hAnsi="宋体" w:cs="宋体" w:hint="eastAsia"/>
                <w:kern w:val="0"/>
                <w:szCs w:val="21"/>
              </w:rPr>
              <w:t>上一年度人数）</w:t>
            </w:r>
            <w:r w:rsidRPr="001B2501">
              <w:rPr>
                <w:rFonts w:cs="Calibri"/>
                <w:kern w:val="0"/>
                <w:szCs w:val="21"/>
              </w:rPr>
              <w:t>/2</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26.每百张病床药师人数</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医院药师（包括药剂师和临床药师）总人数</w:t>
            </w:r>
            <w:r w:rsidRPr="001B2501">
              <w:rPr>
                <w:rFonts w:cs="Calibri"/>
                <w:kern w:val="0"/>
                <w:szCs w:val="21"/>
              </w:rPr>
              <w:t>/</w:t>
            </w:r>
            <w:r w:rsidRPr="001B2501">
              <w:rPr>
                <w:rFonts w:ascii="宋体" w:hAnsi="宋体" w:cs="宋体" w:hint="eastAsia"/>
                <w:kern w:val="0"/>
                <w:szCs w:val="21"/>
              </w:rPr>
              <w:t>医院实际开放床位数×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（六）</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收支结构</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 </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27.门诊收入占医疗收入比例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门诊收入/医疗收入×</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28.门诊收入中来自医保基金的比例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门诊收入中来自医保基金的收入/门诊收入×</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29.住院收入占医疗收入比例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住院收入/医疗收入×</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30.住院收入中来自医保基金的比例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住院收入中来自医保基金的收入/住院收入×</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31.医疗服务收入（不含药品、耗材、</w:t>
            </w:r>
            <w:r w:rsidRPr="001B2501">
              <w:rPr>
                <w:rFonts w:ascii="宋体" w:hAnsi="宋体" w:cs="宋体" w:hint="eastAsia"/>
                <w:kern w:val="0"/>
                <w:szCs w:val="21"/>
              </w:rPr>
              <w:lastRenderedPageBreak/>
              <w:t>检查检验收入）占医疗收入比例▲</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lastRenderedPageBreak/>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医疗服务收入</w:t>
            </w:r>
            <w:r w:rsidRPr="001B2501">
              <w:rPr>
                <w:rFonts w:cs="Calibri"/>
                <w:kern w:val="0"/>
                <w:szCs w:val="21"/>
              </w:rPr>
              <w:t>/</w:t>
            </w:r>
            <w:r w:rsidRPr="001B2501">
              <w:rPr>
                <w:rFonts w:ascii="宋体" w:hAnsi="宋体" w:cs="宋体" w:hint="eastAsia"/>
                <w:kern w:val="0"/>
                <w:szCs w:val="21"/>
              </w:rPr>
              <w:t>医疗收入×</w:t>
            </w:r>
            <w:r w:rsidRPr="001B2501">
              <w:rPr>
                <w:rFonts w:cs="Calibri"/>
                <w:kern w:val="0"/>
                <w:szCs w:val="21"/>
              </w:rPr>
              <w:t>100%</w:t>
            </w:r>
            <w:r w:rsidRPr="001B2501">
              <w:rPr>
                <w:rFonts w:ascii="宋体" w:hAnsi="宋体" w:cs="宋体" w:hint="eastAsia"/>
                <w:kern w:val="0"/>
                <w:szCs w:val="21"/>
              </w:rPr>
              <w:t>。医疗服务收入包括挂号收入、</w:t>
            </w:r>
            <w:r w:rsidRPr="001B2501">
              <w:rPr>
                <w:rFonts w:ascii="宋体" w:hAnsi="宋体" w:cs="宋体" w:hint="eastAsia"/>
                <w:kern w:val="0"/>
                <w:szCs w:val="21"/>
              </w:rPr>
              <w:lastRenderedPageBreak/>
              <w:t>床位收入、诊察收入、治疗收入、手术收入、药事服务收入、护理收入。</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32.辅助用药收入占比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辅助用药收入</w:t>
            </w:r>
            <w:r w:rsidRPr="001B2501">
              <w:rPr>
                <w:rFonts w:cs="Calibri"/>
                <w:kern w:val="0"/>
                <w:szCs w:val="21"/>
              </w:rPr>
              <w:t>/</w:t>
            </w:r>
            <w:r w:rsidRPr="001B2501">
              <w:rPr>
                <w:rFonts w:ascii="宋体" w:hAnsi="宋体" w:cs="宋体" w:hint="eastAsia"/>
                <w:kern w:val="0"/>
                <w:szCs w:val="21"/>
              </w:rPr>
              <w:t>药品总收入×</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33.人员支出占业务支出比重▲</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人员支出/业务支出×</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34.万元收入能耗支出▲</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年总能耗支出</w:t>
            </w:r>
            <w:r w:rsidRPr="001B2501">
              <w:rPr>
                <w:rFonts w:cs="Calibri"/>
                <w:kern w:val="0"/>
                <w:szCs w:val="21"/>
              </w:rPr>
              <w:t>/</w:t>
            </w:r>
            <w:r w:rsidRPr="001B2501">
              <w:rPr>
                <w:rFonts w:ascii="宋体" w:hAnsi="宋体" w:cs="宋体" w:hint="eastAsia"/>
                <w:kern w:val="0"/>
                <w:szCs w:val="21"/>
              </w:rPr>
              <w:t>年总收入×</w:t>
            </w:r>
            <w:r w:rsidRPr="001B2501">
              <w:rPr>
                <w:rFonts w:cs="Calibri"/>
                <w:kern w:val="0"/>
                <w:szCs w:val="21"/>
              </w:rPr>
              <w:t>10000</w:t>
            </w:r>
            <w:r w:rsidRPr="001B2501">
              <w:rPr>
                <w:rFonts w:ascii="宋体" w:hAnsi="宋体" w:cs="宋体" w:hint="eastAsia"/>
                <w:kern w:val="0"/>
                <w:szCs w:val="21"/>
              </w:rPr>
              <w:t>。总能耗为水、电、气、热等能耗折算为吨标煤后之和。</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35.收支结余▲</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业务收支结余</w:t>
            </w:r>
            <w:r w:rsidRPr="001B2501">
              <w:rPr>
                <w:rFonts w:cs="Calibri"/>
                <w:kern w:val="0"/>
                <w:szCs w:val="21"/>
              </w:rPr>
              <w:t>+</w:t>
            </w:r>
            <w:r w:rsidRPr="001B2501">
              <w:rPr>
                <w:rFonts w:ascii="宋体" w:hAnsi="宋体" w:cs="宋体" w:hint="eastAsia"/>
                <w:kern w:val="0"/>
                <w:szCs w:val="21"/>
              </w:rPr>
              <w:t>财政项目补助收支结转（余）</w:t>
            </w:r>
            <w:r w:rsidRPr="001B2501">
              <w:rPr>
                <w:rFonts w:cs="Calibri"/>
                <w:kern w:val="0"/>
                <w:szCs w:val="21"/>
              </w:rPr>
              <w:t>+</w:t>
            </w:r>
            <w:r w:rsidRPr="001B2501">
              <w:rPr>
                <w:rFonts w:ascii="宋体" w:hAnsi="宋体" w:cs="宋体" w:hint="eastAsia"/>
                <w:kern w:val="0"/>
                <w:szCs w:val="21"/>
              </w:rPr>
              <w:t>科教项目收支结转（余）。业务收支结余</w:t>
            </w:r>
            <w:r w:rsidRPr="001B2501">
              <w:rPr>
                <w:rFonts w:cs="Calibri"/>
                <w:kern w:val="0"/>
                <w:szCs w:val="21"/>
              </w:rPr>
              <w:t>=</w:t>
            </w:r>
            <w:r w:rsidRPr="001B2501">
              <w:rPr>
                <w:rFonts w:ascii="宋体" w:hAnsi="宋体" w:cs="宋体" w:hint="eastAsia"/>
                <w:kern w:val="0"/>
                <w:szCs w:val="21"/>
              </w:rPr>
              <w:t>医疗收支结余</w:t>
            </w:r>
            <w:r w:rsidRPr="001B2501">
              <w:rPr>
                <w:rFonts w:cs="Calibri"/>
                <w:kern w:val="0"/>
                <w:szCs w:val="21"/>
              </w:rPr>
              <w:t>+</w:t>
            </w:r>
            <w:r w:rsidRPr="001B2501">
              <w:rPr>
                <w:rFonts w:ascii="宋体" w:hAnsi="宋体" w:cs="宋体" w:hint="eastAsia"/>
                <w:kern w:val="0"/>
                <w:szCs w:val="21"/>
              </w:rPr>
              <w:t>其他收入</w:t>
            </w:r>
            <w:r w:rsidRPr="001B2501">
              <w:rPr>
                <w:rFonts w:cs="Calibri"/>
                <w:kern w:val="0"/>
                <w:szCs w:val="21"/>
              </w:rPr>
              <w:t>-</w:t>
            </w:r>
            <w:r w:rsidRPr="001B2501">
              <w:rPr>
                <w:rFonts w:ascii="宋体" w:hAnsi="宋体" w:cs="宋体" w:hint="eastAsia"/>
                <w:kern w:val="0"/>
                <w:szCs w:val="21"/>
              </w:rPr>
              <w:t>其他支出，其中：医疗收支结余</w:t>
            </w:r>
            <w:r w:rsidRPr="001B2501">
              <w:rPr>
                <w:rFonts w:cs="Calibri"/>
                <w:kern w:val="0"/>
                <w:szCs w:val="21"/>
              </w:rPr>
              <w:t>=</w:t>
            </w:r>
            <w:r w:rsidRPr="001B2501">
              <w:rPr>
                <w:rFonts w:ascii="宋体" w:hAnsi="宋体" w:cs="宋体" w:hint="eastAsia"/>
                <w:kern w:val="0"/>
                <w:szCs w:val="21"/>
              </w:rPr>
              <w:t>医疗收入</w:t>
            </w:r>
            <w:r w:rsidRPr="001B2501">
              <w:rPr>
                <w:rFonts w:cs="Calibri"/>
                <w:kern w:val="0"/>
                <w:szCs w:val="21"/>
              </w:rPr>
              <w:t>+</w:t>
            </w:r>
            <w:r w:rsidRPr="001B2501">
              <w:rPr>
                <w:rFonts w:ascii="宋体" w:hAnsi="宋体" w:cs="宋体" w:hint="eastAsia"/>
                <w:kern w:val="0"/>
                <w:szCs w:val="21"/>
              </w:rPr>
              <w:t>财政基本支出补助收入</w:t>
            </w:r>
            <w:r w:rsidRPr="001B2501">
              <w:rPr>
                <w:rFonts w:cs="Calibri"/>
                <w:kern w:val="0"/>
                <w:szCs w:val="21"/>
              </w:rPr>
              <w:t>-</w:t>
            </w:r>
            <w:r w:rsidRPr="001B2501">
              <w:rPr>
                <w:rFonts w:ascii="宋体" w:hAnsi="宋体" w:cs="宋体" w:hint="eastAsia"/>
                <w:kern w:val="0"/>
                <w:szCs w:val="21"/>
              </w:rPr>
              <w:t>医疗支出</w:t>
            </w:r>
            <w:r w:rsidRPr="001B2501">
              <w:rPr>
                <w:rFonts w:cs="Calibri"/>
                <w:kern w:val="0"/>
                <w:szCs w:val="21"/>
              </w:rPr>
              <w:t>-</w:t>
            </w:r>
            <w:r w:rsidRPr="001B2501">
              <w:rPr>
                <w:rFonts w:ascii="宋体" w:hAnsi="宋体" w:cs="宋体" w:hint="eastAsia"/>
                <w:kern w:val="0"/>
                <w:szCs w:val="21"/>
              </w:rPr>
              <w:t>管理费用。财政项目补助收支结转（余）</w:t>
            </w:r>
            <w:r w:rsidRPr="001B2501">
              <w:rPr>
                <w:rFonts w:cs="Calibri"/>
                <w:kern w:val="0"/>
                <w:szCs w:val="21"/>
              </w:rPr>
              <w:t>=</w:t>
            </w:r>
            <w:r w:rsidRPr="001B2501">
              <w:rPr>
                <w:rFonts w:ascii="宋体" w:hAnsi="宋体" w:cs="宋体" w:hint="eastAsia"/>
                <w:kern w:val="0"/>
                <w:szCs w:val="21"/>
              </w:rPr>
              <w:t>财政项目支出补助收入</w:t>
            </w:r>
            <w:r w:rsidRPr="001B2501">
              <w:rPr>
                <w:rFonts w:cs="Calibri"/>
                <w:kern w:val="0"/>
                <w:szCs w:val="21"/>
              </w:rPr>
              <w:t>-</w:t>
            </w:r>
            <w:r w:rsidRPr="001B2501">
              <w:rPr>
                <w:rFonts w:ascii="宋体" w:hAnsi="宋体" w:cs="宋体" w:hint="eastAsia"/>
                <w:kern w:val="0"/>
                <w:szCs w:val="21"/>
              </w:rPr>
              <w:t>财政项目补助支出。科教项目收支结转（余）</w:t>
            </w:r>
            <w:r w:rsidRPr="001B2501">
              <w:rPr>
                <w:rFonts w:cs="Calibri"/>
                <w:kern w:val="0"/>
                <w:szCs w:val="21"/>
              </w:rPr>
              <w:t>=</w:t>
            </w:r>
            <w:r w:rsidRPr="001B2501">
              <w:rPr>
                <w:rFonts w:ascii="宋体" w:hAnsi="宋体" w:cs="宋体" w:hint="eastAsia"/>
                <w:kern w:val="0"/>
                <w:szCs w:val="21"/>
              </w:rPr>
              <w:t>科教项目收入</w:t>
            </w:r>
            <w:r w:rsidRPr="001B2501">
              <w:rPr>
                <w:rFonts w:cs="Calibri"/>
                <w:kern w:val="0"/>
                <w:szCs w:val="21"/>
              </w:rPr>
              <w:t>-</w:t>
            </w:r>
            <w:r w:rsidRPr="001B2501">
              <w:rPr>
                <w:rFonts w:ascii="宋体" w:hAnsi="宋体" w:cs="宋体" w:hint="eastAsia"/>
                <w:kern w:val="0"/>
                <w:szCs w:val="21"/>
              </w:rPr>
              <w:t>科教项目支出。</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36.资产负债率▲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负债合计</w:t>
            </w:r>
            <w:r w:rsidRPr="001B2501">
              <w:rPr>
                <w:rFonts w:cs="Calibri"/>
                <w:kern w:val="0"/>
                <w:szCs w:val="21"/>
              </w:rPr>
              <w:t>/</w:t>
            </w:r>
            <w:r w:rsidRPr="001B2501">
              <w:rPr>
                <w:rFonts w:ascii="宋体" w:hAnsi="宋体" w:cs="宋体" w:hint="eastAsia"/>
                <w:kern w:val="0"/>
                <w:szCs w:val="21"/>
              </w:rPr>
              <w:t>资产合计×</w:t>
            </w:r>
            <w:r w:rsidRPr="001B2501">
              <w:rPr>
                <w:rFonts w:cs="Calibri"/>
                <w:kern w:val="0"/>
                <w:szCs w:val="21"/>
              </w:rPr>
              <w:t>100%</w:t>
            </w:r>
            <w:r w:rsidRPr="001B2501">
              <w:rPr>
                <w:rFonts w:ascii="宋体" w:hAnsi="宋体" w:cs="宋体" w:hint="eastAsia"/>
                <w:kern w:val="0"/>
                <w:szCs w:val="21"/>
              </w:rPr>
              <w:t>（反映负债合理性，引导医院避免盲目负债扩张或经营，降低医院运行潜在风险）。</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trHeight w:val="1530"/>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（七）</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费用控制</w:t>
            </w:r>
          </w:p>
        </w:tc>
        <w:tc>
          <w:tcPr>
            <w:tcW w:w="19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37.医疗收入增幅</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（本年度医疗收入－上一年度医疗收入）/上一年度医疗收入×</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38.门诊次均费用增幅▲</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（本年度门诊患者次均医药费用－上一年度门诊患者次均医药费用）/上一年度门诊患者次均医药费用×</w:t>
            </w:r>
            <w:r w:rsidRPr="001B2501">
              <w:rPr>
                <w:rFonts w:cs="Calibri"/>
                <w:kern w:val="0"/>
                <w:szCs w:val="21"/>
              </w:rPr>
              <w:t>100%</w:t>
            </w:r>
            <w:r w:rsidRPr="001B2501">
              <w:rPr>
                <w:rFonts w:ascii="宋体" w:hAnsi="宋体" w:cs="宋体" w:hint="eastAsia"/>
                <w:kern w:val="0"/>
                <w:szCs w:val="21"/>
              </w:rPr>
              <w:t>。门诊患者次均医药费用</w:t>
            </w:r>
            <w:r w:rsidRPr="001B2501">
              <w:rPr>
                <w:rFonts w:cs="Calibri"/>
                <w:kern w:val="0"/>
                <w:szCs w:val="21"/>
              </w:rPr>
              <w:t>=</w:t>
            </w:r>
            <w:r w:rsidRPr="001B2501">
              <w:rPr>
                <w:rFonts w:ascii="宋体" w:hAnsi="宋体" w:cs="宋体" w:hint="eastAsia"/>
                <w:kern w:val="0"/>
                <w:szCs w:val="21"/>
              </w:rPr>
              <w:t>门诊收入/门诊人次数。</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39.门诊次均药品费用增幅▲</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（本年度门诊患者次均药品费用－上一年度门诊患者次均药品费用）</w:t>
            </w:r>
            <w:r w:rsidRPr="001B2501">
              <w:rPr>
                <w:rFonts w:cs="Calibri"/>
                <w:kern w:val="0"/>
                <w:szCs w:val="21"/>
              </w:rPr>
              <w:t>/</w:t>
            </w:r>
            <w:r w:rsidRPr="001B2501">
              <w:rPr>
                <w:rFonts w:ascii="宋体" w:hAnsi="宋体" w:cs="宋体" w:hint="eastAsia"/>
                <w:kern w:val="0"/>
                <w:szCs w:val="21"/>
              </w:rPr>
              <w:t>上一年度门诊患者次均药品费用×</w:t>
            </w:r>
            <w:r w:rsidRPr="001B2501">
              <w:rPr>
                <w:rFonts w:cs="Calibri"/>
                <w:kern w:val="0"/>
                <w:szCs w:val="21"/>
              </w:rPr>
              <w:t>100%</w:t>
            </w:r>
            <w:r w:rsidRPr="001B2501">
              <w:rPr>
                <w:rFonts w:ascii="宋体" w:hAnsi="宋体" w:cs="宋体" w:hint="eastAsia"/>
                <w:kern w:val="0"/>
                <w:szCs w:val="21"/>
              </w:rPr>
              <w:t>。门诊患者次均药品费用</w:t>
            </w:r>
            <w:r w:rsidRPr="001B2501">
              <w:rPr>
                <w:rFonts w:cs="Calibri"/>
                <w:kern w:val="0"/>
                <w:szCs w:val="21"/>
              </w:rPr>
              <w:t>=</w:t>
            </w:r>
            <w:r w:rsidRPr="001B2501">
              <w:rPr>
                <w:rFonts w:ascii="宋体" w:hAnsi="宋体" w:cs="宋体" w:hint="eastAsia"/>
                <w:kern w:val="0"/>
                <w:szCs w:val="21"/>
              </w:rPr>
              <w:t>门诊药品收入</w:t>
            </w:r>
            <w:r w:rsidRPr="001B2501">
              <w:rPr>
                <w:rFonts w:cs="Calibri"/>
                <w:kern w:val="0"/>
                <w:szCs w:val="21"/>
              </w:rPr>
              <w:t>/</w:t>
            </w:r>
            <w:r w:rsidRPr="001B2501">
              <w:rPr>
                <w:rFonts w:ascii="宋体" w:hAnsi="宋体" w:cs="宋体" w:hint="eastAsia"/>
                <w:kern w:val="0"/>
                <w:szCs w:val="21"/>
              </w:rPr>
              <w:t>门诊人次数。</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40.住院次均费用增幅▲</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（本年度出院患者次均医药费用－上一年度出院患者次均医药费用）/上一年度出院患者次均医药费用×</w:t>
            </w:r>
            <w:r w:rsidRPr="001B2501">
              <w:rPr>
                <w:rFonts w:cs="Calibri"/>
                <w:kern w:val="0"/>
                <w:szCs w:val="21"/>
              </w:rPr>
              <w:t>100%</w:t>
            </w:r>
            <w:r w:rsidRPr="001B2501">
              <w:rPr>
                <w:rFonts w:ascii="宋体" w:hAnsi="宋体" w:cs="宋体" w:hint="eastAsia"/>
                <w:kern w:val="0"/>
                <w:szCs w:val="21"/>
              </w:rPr>
              <w:t>。出院患者次均医药费用</w:t>
            </w:r>
            <w:r w:rsidRPr="001B2501">
              <w:rPr>
                <w:rFonts w:cs="Calibri"/>
                <w:kern w:val="0"/>
                <w:szCs w:val="21"/>
              </w:rPr>
              <w:t>=</w:t>
            </w:r>
            <w:r w:rsidRPr="001B2501">
              <w:rPr>
                <w:rFonts w:ascii="宋体" w:hAnsi="宋体" w:cs="宋体" w:hint="eastAsia"/>
                <w:kern w:val="0"/>
                <w:szCs w:val="21"/>
              </w:rPr>
              <w:t>出院患者住院费用</w:t>
            </w:r>
            <w:r w:rsidRPr="001B2501">
              <w:rPr>
                <w:rFonts w:cs="Calibri"/>
                <w:kern w:val="0"/>
                <w:szCs w:val="21"/>
              </w:rPr>
              <w:t>/</w:t>
            </w:r>
            <w:r w:rsidRPr="001B2501">
              <w:rPr>
                <w:rFonts w:ascii="宋体" w:hAnsi="宋体" w:cs="宋体" w:hint="eastAsia"/>
                <w:kern w:val="0"/>
                <w:szCs w:val="21"/>
              </w:rPr>
              <w:t>出院人次数。由于整体出院患者平均医药费用受多种因素影响，为使数据尽量可比，通过疾病严重程度（</w:t>
            </w:r>
            <w:r w:rsidRPr="001B2501">
              <w:rPr>
                <w:rFonts w:cs="Calibri"/>
                <w:kern w:val="0"/>
                <w:szCs w:val="21"/>
              </w:rPr>
              <w:t>CMI</w:t>
            </w:r>
            <w:r w:rsidRPr="001B2501">
              <w:rPr>
                <w:rFonts w:ascii="宋体" w:hAnsi="宋体" w:cs="宋体" w:hint="eastAsia"/>
                <w:kern w:val="0"/>
                <w:szCs w:val="21"/>
              </w:rPr>
              <w:t>）调整。</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41.住院次均药品费用增幅▲</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（本年度出院患者次均药品费用－上一年度出院患者次均药品费用）/上一年度出院患者次均药品费用×</w:t>
            </w:r>
            <w:r w:rsidRPr="001B2501">
              <w:rPr>
                <w:rFonts w:cs="Calibri"/>
                <w:kern w:val="0"/>
                <w:szCs w:val="21"/>
              </w:rPr>
              <w:t>100%</w:t>
            </w:r>
            <w:r w:rsidRPr="001B2501">
              <w:rPr>
                <w:rFonts w:ascii="宋体" w:hAnsi="宋体" w:cs="宋体" w:hint="eastAsia"/>
                <w:kern w:val="0"/>
                <w:szCs w:val="21"/>
              </w:rPr>
              <w:t>。出院患者次均药品费用</w:t>
            </w:r>
            <w:r w:rsidRPr="001B2501">
              <w:rPr>
                <w:rFonts w:cs="Calibri"/>
                <w:kern w:val="0"/>
                <w:szCs w:val="21"/>
              </w:rPr>
              <w:t>=</w:t>
            </w:r>
            <w:r w:rsidRPr="001B2501">
              <w:rPr>
                <w:rFonts w:ascii="宋体" w:hAnsi="宋体" w:cs="宋体" w:hint="eastAsia"/>
                <w:kern w:val="0"/>
                <w:szCs w:val="21"/>
              </w:rPr>
              <w:t>出院</w:t>
            </w:r>
            <w:r w:rsidRPr="001B2501">
              <w:rPr>
                <w:rFonts w:ascii="宋体" w:hAnsi="宋体" w:cs="宋体" w:hint="eastAsia"/>
                <w:kern w:val="0"/>
                <w:szCs w:val="21"/>
              </w:rPr>
              <w:lastRenderedPageBreak/>
              <w:t>患者药品费用</w:t>
            </w:r>
            <w:r w:rsidRPr="001B2501">
              <w:rPr>
                <w:rFonts w:cs="Calibri"/>
                <w:kern w:val="0"/>
                <w:szCs w:val="21"/>
              </w:rPr>
              <w:t>/</w:t>
            </w:r>
            <w:r w:rsidRPr="001B2501">
              <w:rPr>
                <w:rFonts w:ascii="宋体" w:hAnsi="宋体" w:cs="宋体" w:hint="eastAsia"/>
                <w:kern w:val="0"/>
                <w:szCs w:val="21"/>
              </w:rPr>
              <w:t>出院人次数。</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财务年报表。</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（八）</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经济管理</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42.全面预算管理</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定性</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查阅文件资料。</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43.规范设立总会计师</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定性</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查阅文件资料。</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107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三、持续发展</w:t>
            </w: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（九）</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人员结构</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44.卫生技术人员职称结构</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医院具有高级职称的医务人员数</w:t>
            </w:r>
            <w:r w:rsidRPr="001B2501">
              <w:rPr>
                <w:rFonts w:cs="Calibri"/>
                <w:kern w:val="0"/>
                <w:szCs w:val="21"/>
              </w:rPr>
              <w:t>/</w:t>
            </w:r>
            <w:r w:rsidRPr="001B2501">
              <w:rPr>
                <w:rFonts w:ascii="宋体" w:hAnsi="宋体" w:cs="宋体" w:hint="eastAsia"/>
                <w:kern w:val="0"/>
                <w:szCs w:val="21"/>
              </w:rPr>
              <w:t>全院同期医务人员总数×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45.麻醉、儿科、重症、病理、中医医师占比▲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医院注册的麻醉、儿科、重症、病理、中医在岗医师数</w:t>
            </w:r>
            <w:r w:rsidRPr="001B2501">
              <w:rPr>
                <w:rFonts w:cs="Calibri"/>
                <w:kern w:val="0"/>
                <w:szCs w:val="21"/>
              </w:rPr>
              <w:t>/</w:t>
            </w:r>
            <w:r w:rsidRPr="001B2501">
              <w:rPr>
                <w:rFonts w:ascii="宋体" w:hAnsi="宋体" w:cs="宋体" w:hint="eastAsia"/>
                <w:kern w:val="0"/>
                <w:szCs w:val="21"/>
              </w:rPr>
              <w:t>全院同期医师总数。</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国家医疗机构、医师、护士电子化注册系统。</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46.医护比▲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医院注册医师总数</w:t>
            </w:r>
            <w:r w:rsidRPr="001B2501">
              <w:rPr>
                <w:rFonts w:cs="Calibri"/>
                <w:kern w:val="0"/>
                <w:szCs w:val="21"/>
              </w:rPr>
              <w:t>/</w:t>
            </w:r>
            <w:r w:rsidRPr="001B2501">
              <w:rPr>
                <w:rFonts w:ascii="宋体" w:hAnsi="宋体" w:cs="宋体" w:hint="eastAsia"/>
                <w:kern w:val="0"/>
                <w:szCs w:val="21"/>
              </w:rPr>
              <w:t>全院同期注册护士总数。</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国家医疗机构、医师、护士电子化注册系统。</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（十）</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人才培养</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47.医院接受其他医院（尤其是对口支援医院、医联体内医院）进修并返回原医院独立工作人数占比</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医院接受其他医院（尤其是对口支援医院、医联体内医院）进修半年及以上并返回原医院独立工作人数</w:t>
            </w:r>
            <w:r w:rsidRPr="001B2501">
              <w:rPr>
                <w:rFonts w:cs="Calibri"/>
                <w:kern w:val="0"/>
                <w:szCs w:val="21"/>
              </w:rPr>
              <w:t>/</w:t>
            </w:r>
            <w:r w:rsidRPr="001B2501">
              <w:rPr>
                <w:rFonts w:ascii="宋体" w:hAnsi="宋体" w:cs="宋体" w:hint="eastAsia"/>
                <w:kern w:val="0"/>
                <w:szCs w:val="21"/>
              </w:rPr>
              <w:t>医院同期招收进修总人数×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48.医院住院医师首次参加医师资格考试通过率▲</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本年度首次参加医师资格考试并通过的住院医师人数</w:t>
            </w:r>
            <w:r w:rsidRPr="001B2501">
              <w:rPr>
                <w:rFonts w:cs="Calibri"/>
                <w:kern w:val="0"/>
                <w:szCs w:val="21"/>
              </w:rPr>
              <w:t>/</w:t>
            </w:r>
            <w:r w:rsidRPr="001B2501">
              <w:rPr>
                <w:rFonts w:ascii="宋体" w:hAnsi="宋体" w:cs="宋体" w:hint="eastAsia"/>
                <w:kern w:val="0"/>
                <w:szCs w:val="21"/>
              </w:rPr>
              <w:t>同期首次参加医师资格考试的住院医师总人数×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国家卫生健康委。</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49.医院承担培养医学人才的工作成效</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统计医院在医学人才培养方面的经费投入、临床带教教师和指导医师接受教育教学培训人次数、承担医学教育的人数和发表教学论文的数量。</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（十一）</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学科建设</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50.每百名卫生技术人员科研项目经费▲</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本年度科研项目立项经费总金额</w:t>
            </w:r>
            <w:r w:rsidRPr="001B2501">
              <w:rPr>
                <w:rFonts w:cs="Calibri"/>
                <w:kern w:val="0"/>
                <w:szCs w:val="21"/>
              </w:rPr>
              <w:t>/</w:t>
            </w:r>
            <w:r w:rsidRPr="001B2501">
              <w:rPr>
                <w:rFonts w:ascii="宋体" w:hAnsi="宋体" w:cs="宋体" w:hint="eastAsia"/>
                <w:kern w:val="0"/>
                <w:szCs w:val="21"/>
              </w:rPr>
              <w:t>同期卫生技术人员总数×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51.每百名卫生技术人员科研成果转化金额</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本年度科技成果转化总金额</w:t>
            </w:r>
            <w:r w:rsidRPr="001B2501">
              <w:rPr>
                <w:rFonts w:cs="Calibri"/>
                <w:kern w:val="0"/>
                <w:szCs w:val="21"/>
              </w:rPr>
              <w:t>/</w:t>
            </w:r>
            <w:r w:rsidRPr="001B2501">
              <w:rPr>
                <w:rFonts w:ascii="宋体" w:hAnsi="宋体" w:cs="宋体" w:hint="eastAsia"/>
                <w:kern w:val="0"/>
                <w:szCs w:val="21"/>
              </w:rPr>
              <w:t>同期医院卫生技术人员总数×</w:t>
            </w:r>
            <w:r w:rsidRPr="001B2501">
              <w:rPr>
                <w:rFonts w:cs="Calibri"/>
                <w:kern w:val="0"/>
                <w:szCs w:val="21"/>
              </w:rPr>
              <w:t>100</w:t>
            </w:r>
            <w:r w:rsidRPr="001B2501">
              <w:rPr>
                <w:rFonts w:ascii="宋体" w:hAnsi="宋体" w:cs="宋体" w:hint="eastAsia"/>
                <w:kern w:val="0"/>
                <w:szCs w:val="21"/>
              </w:rPr>
              <w:t>。</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医院填报。</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（十二）</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信用建设</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52.公共信用综合评价等级</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定性</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按照公共信用综合评价规范进行评价。</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国家发展改革委。</w:t>
            </w:r>
          </w:p>
        </w:tc>
      </w:tr>
      <w:tr w:rsidR="009D488F" w:rsidRPr="001B2501" w:rsidTr="0070117C">
        <w:trPr>
          <w:jc w:val="center"/>
        </w:trPr>
        <w:tc>
          <w:tcPr>
            <w:tcW w:w="107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b/>
                <w:bCs/>
                <w:kern w:val="0"/>
                <w:szCs w:val="21"/>
              </w:rPr>
              <w:t>四、满意度评价</w:t>
            </w:r>
          </w:p>
        </w:tc>
        <w:tc>
          <w:tcPr>
            <w:tcW w:w="106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（十三）</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患者满意度</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53.门诊患者满意度▲</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门诊患者满意度调查得分。</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国家卫生健康委。</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0" w:type="auto"/>
            <w:vMerge/>
            <w:tcBorders>
              <w:top w:val="nil"/>
              <w:left w:val="nil"/>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54.住院患者满意度▲</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住院患者满意度调查得分。</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国家卫生健康委。</w:t>
            </w:r>
          </w:p>
        </w:tc>
      </w:tr>
      <w:tr w:rsidR="009D488F" w:rsidRPr="001B2501" w:rsidTr="0070117C">
        <w:trPr>
          <w:jc w:val="center"/>
        </w:trPr>
        <w:tc>
          <w:tcPr>
            <w:tcW w:w="0" w:type="auto"/>
            <w:vMerge/>
            <w:tcBorders>
              <w:top w:val="nil"/>
              <w:left w:val="single" w:sz="8" w:space="0" w:color="auto"/>
              <w:bottom w:val="single" w:sz="8" w:space="0" w:color="auto"/>
              <w:right w:val="single" w:sz="8" w:space="0" w:color="auto"/>
            </w:tcBorders>
            <w:vAlign w:val="center"/>
            <w:hideMark/>
          </w:tcPr>
          <w:p w:rsidR="009D488F" w:rsidRPr="001B2501" w:rsidRDefault="009D488F" w:rsidP="0070117C">
            <w:pPr>
              <w:widowControl/>
              <w:jc w:val="left"/>
              <w:rPr>
                <w:rFonts w:ascii="宋体" w:hAnsi="宋体" w:cs="宋体"/>
                <w:kern w:val="0"/>
                <w:szCs w:val="21"/>
              </w:rPr>
            </w:pPr>
          </w:p>
        </w:tc>
        <w:tc>
          <w:tcPr>
            <w:tcW w:w="1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（十四）</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医务人员</w:t>
            </w:r>
          </w:p>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满意度</w:t>
            </w:r>
          </w:p>
        </w:tc>
        <w:tc>
          <w:tcPr>
            <w:tcW w:w="1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宋体" w:hAnsi="宋体" w:cs="宋体" w:hint="eastAsia"/>
                <w:kern w:val="0"/>
                <w:szCs w:val="21"/>
              </w:rPr>
              <w:t>55.医务人员满意度▲</w:t>
            </w:r>
          </w:p>
        </w:tc>
        <w:tc>
          <w:tcPr>
            <w:tcW w:w="11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jc w:val="center"/>
              <w:rPr>
                <w:rFonts w:ascii="宋体" w:hAnsi="宋体" w:cs="宋体"/>
                <w:kern w:val="0"/>
                <w:szCs w:val="21"/>
              </w:rPr>
            </w:pPr>
            <w:r w:rsidRPr="001B2501">
              <w:rPr>
                <w:rFonts w:ascii="宋体" w:hAnsi="宋体" w:cs="宋体" w:hint="eastAsia"/>
                <w:kern w:val="0"/>
                <w:szCs w:val="21"/>
              </w:rPr>
              <w:t>定量</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D488F" w:rsidRPr="001B2501" w:rsidRDefault="009D488F" w:rsidP="0070117C">
            <w:pPr>
              <w:widowControl/>
              <w:spacing w:before="100" w:beforeAutospacing="1" w:after="100" w:afterAutospacing="1" w:line="420" w:lineRule="atLeast"/>
              <w:rPr>
                <w:rFonts w:ascii="宋体" w:hAnsi="宋体" w:cs="宋体"/>
                <w:kern w:val="0"/>
                <w:szCs w:val="21"/>
              </w:rPr>
            </w:pPr>
            <w:r w:rsidRPr="001B2501">
              <w:rPr>
                <w:rFonts w:ascii="楷体" w:eastAsia="楷体" w:hAnsi="楷体" w:cs="宋体" w:hint="eastAsia"/>
                <w:kern w:val="0"/>
                <w:szCs w:val="21"/>
              </w:rPr>
              <w:t>计算方法：</w:t>
            </w:r>
            <w:r w:rsidRPr="001B2501">
              <w:rPr>
                <w:rFonts w:ascii="宋体" w:hAnsi="宋体" w:cs="宋体" w:hint="eastAsia"/>
                <w:kern w:val="0"/>
                <w:szCs w:val="21"/>
              </w:rPr>
              <w:t>医务人员满意度调查得分。</w:t>
            </w:r>
            <w:r w:rsidRPr="001B2501">
              <w:rPr>
                <w:rFonts w:ascii="宋体" w:hAnsi="宋体" w:cs="宋体" w:hint="eastAsia"/>
                <w:kern w:val="0"/>
                <w:szCs w:val="21"/>
              </w:rPr>
              <w:br/>
            </w:r>
            <w:r w:rsidRPr="001B2501">
              <w:rPr>
                <w:rFonts w:ascii="楷体" w:eastAsia="楷体" w:hAnsi="楷体" w:cs="宋体" w:hint="eastAsia"/>
                <w:kern w:val="0"/>
                <w:szCs w:val="21"/>
              </w:rPr>
              <w:t>指标来源：</w:t>
            </w:r>
            <w:r w:rsidRPr="001B2501">
              <w:rPr>
                <w:rFonts w:ascii="宋体" w:hAnsi="宋体" w:cs="宋体" w:hint="eastAsia"/>
                <w:kern w:val="0"/>
                <w:szCs w:val="21"/>
              </w:rPr>
              <w:t>国家卫生健康委。</w:t>
            </w:r>
          </w:p>
        </w:tc>
      </w:tr>
    </w:tbl>
    <w:p w:rsidR="009D488F" w:rsidRPr="001B2501" w:rsidRDefault="009D488F" w:rsidP="009D488F">
      <w:pPr>
        <w:widowControl/>
        <w:rPr>
          <w:rFonts w:ascii="宋体" w:hAnsi="宋体" w:cs="宋体"/>
          <w:kern w:val="0"/>
          <w:szCs w:val="21"/>
        </w:rPr>
      </w:pPr>
      <w:r w:rsidRPr="001B2501">
        <w:rPr>
          <w:rFonts w:ascii="宋体" w:hAnsi="宋体" w:cs="宋体" w:hint="eastAsia"/>
          <w:b/>
          <w:bCs/>
          <w:kern w:val="0"/>
          <w:szCs w:val="21"/>
        </w:rPr>
        <w:t>注：</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1.三级公立综合医院考核应采用上述全部考核指标。三级公立专科医院考核可根据专科特点选用部分考核指标。国家中医药局在组织对三级公立中医医院考核时，根据工作实际适当调整和补充考核指标。</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2.标记“▲”的26个指标为国家监测指标，其中15个指标自动生成，9个指标由财务年报表获取，2个指标由医院填报。</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3.考核指标中的手术包括在日间手术室或住院部手术室内、麻醉状态下完成的手术，不包括门诊手术。其中，日间手术是指患者按照诊疗计划在1日（24小时）内入、出院完成的手术或操作（不包括门诊手术），因病情需要延期住院的特殊病例，住院时间不超过48小时。</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lastRenderedPageBreak/>
        <w:t>4.微创手术是指出院患者在日间手术室或住院部手术室内、麻醉状态下的内科和外科腔镜手术、血管内和实质脏器的介入治疗。</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5.四级手术以国家统一规定纳入监测的四级手术目录为准。</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6.“特需医疗服务占比”按照两个计算公式，同时统计服务量与服务收入占比。</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7.单病种包括急性心肌梗死、心力衰竭、肺炎、脑梗死、髋关节置换术、膝关节置换术、冠状动脉旁路移植术、围手术期预防感染、剖宫产、慢性阻塞性肺疾病、围手术期预防深静脉血栓等。</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8.用于检查的大型医用设备按照国家卫生健康委《大型医用设备配置许可管理目录》进行统计。</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9.“门诊收入中来自医保基金的比例”、“住院收入中来自医保基金的比例”，用于医院自身纵向比较，不在医院之间比较。</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10.辅助用药以国家统一规定的品目为准。</w:t>
      </w:r>
    </w:p>
    <w:p w:rsidR="009D488F" w:rsidRPr="001B2501" w:rsidRDefault="009D488F" w:rsidP="009D488F">
      <w:pPr>
        <w:widowControl/>
        <w:ind w:firstLine="480"/>
        <w:rPr>
          <w:rFonts w:ascii="宋体" w:hAnsi="宋体" w:cs="宋体"/>
          <w:kern w:val="0"/>
          <w:szCs w:val="21"/>
        </w:rPr>
      </w:pPr>
      <w:r w:rsidRPr="001B2501">
        <w:rPr>
          <w:rFonts w:ascii="宋体" w:hAnsi="宋体" w:cs="宋体" w:hint="eastAsia"/>
          <w:kern w:val="0"/>
          <w:szCs w:val="21"/>
        </w:rPr>
        <w:t>11.“麻醉、儿科、重症、病理、中医医师占比”根据各医院紧缺专业人才结构具体情况，按麻醉、儿科、重症、病理、中医五个类别分别计算占比。</w:t>
      </w:r>
    </w:p>
    <w:p w:rsidR="00606B5D" w:rsidRPr="005A3155" w:rsidRDefault="009D488F" w:rsidP="009D488F">
      <w:pPr>
        <w:pStyle w:val="a3"/>
        <w:widowControl w:val="0"/>
        <w:spacing w:before="0" w:beforeAutospacing="0" w:after="0" w:afterAutospacing="0" w:line="600" w:lineRule="exact"/>
        <w:jc w:val="both"/>
      </w:pPr>
      <w:r w:rsidRPr="001B2501">
        <w:rPr>
          <w:rFonts w:hint="eastAsia"/>
          <w:szCs w:val="21"/>
        </w:rPr>
        <w:t>12.科技成果转化总金额是指医院科研成果在技术市场合同成交金额总数。</w:t>
      </w:r>
    </w:p>
    <w:sectPr w:rsidR="00606B5D" w:rsidRPr="005A3155" w:rsidSect="005026C0">
      <w:footerReference w:type="even" r:id="rId7"/>
      <w:footerReference w:type="default" r:id="rId8"/>
      <w:pgSz w:w="11906" w:h="16838"/>
      <w:pgMar w:top="2098" w:right="1474" w:bottom="1985" w:left="1588" w:header="397"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2DB" w:rsidRDefault="008B62DB" w:rsidP="00EE0548">
      <w:r>
        <w:separator/>
      </w:r>
    </w:p>
  </w:endnote>
  <w:endnote w:type="continuationSeparator" w:id="0">
    <w:p w:rsidR="008B62DB" w:rsidRDefault="008B62DB" w:rsidP="00EE05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48" w:rsidRDefault="00146D2E">
    <w:pPr>
      <w:pStyle w:val="a6"/>
    </w:pPr>
    <w:sdt>
      <w:sdtPr>
        <w:id w:val="32628748"/>
        <w:docPartObj>
          <w:docPartGallery w:val="Page Numbers (Bottom of Page)"/>
          <w:docPartUnique/>
        </w:docPartObj>
      </w:sdtPr>
      <w:sdtContent>
        <w:r w:rsidR="00EE0548" w:rsidRPr="00941108">
          <w:rPr>
            <w:rFonts w:asciiTheme="minorEastAsia" w:hAnsiTheme="minorEastAsia" w:hint="eastAsia"/>
            <w:sz w:val="28"/>
            <w:szCs w:val="28"/>
          </w:rPr>
          <w:t>－</w:t>
        </w:r>
        <w:r w:rsidRPr="00941108">
          <w:rPr>
            <w:rFonts w:asciiTheme="minorEastAsia" w:hAnsiTheme="minorEastAsia"/>
            <w:sz w:val="28"/>
            <w:szCs w:val="28"/>
          </w:rPr>
          <w:fldChar w:fldCharType="begin"/>
        </w:r>
        <w:r w:rsidR="00EE0548" w:rsidRPr="00941108">
          <w:rPr>
            <w:rFonts w:asciiTheme="minorEastAsia" w:hAnsiTheme="minorEastAsia"/>
            <w:sz w:val="28"/>
            <w:szCs w:val="28"/>
          </w:rPr>
          <w:instrText xml:space="preserve"> PAGE   \* MERGEFORMAT </w:instrText>
        </w:r>
        <w:r w:rsidRPr="00941108">
          <w:rPr>
            <w:rFonts w:asciiTheme="minorEastAsia" w:hAnsiTheme="minorEastAsia"/>
            <w:sz w:val="28"/>
            <w:szCs w:val="28"/>
          </w:rPr>
          <w:fldChar w:fldCharType="separate"/>
        </w:r>
        <w:r w:rsidR="008D3E6B" w:rsidRPr="008D3E6B">
          <w:rPr>
            <w:rFonts w:asciiTheme="minorEastAsia" w:hAnsiTheme="minorEastAsia"/>
            <w:noProof/>
            <w:sz w:val="28"/>
            <w:szCs w:val="28"/>
            <w:lang w:val="zh-CN"/>
          </w:rPr>
          <w:t>8</w:t>
        </w:r>
        <w:r w:rsidRPr="00941108">
          <w:rPr>
            <w:rFonts w:asciiTheme="minorEastAsia" w:hAnsiTheme="minorEastAsia"/>
            <w:sz w:val="28"/>
            <w:szCs w:val="28"/>
          </w:rPr>
          <w:fldChar w:fldCharType="end"/>
        </w:r>
        <w:r w:rsidR="00EE0548" w:rsidRPr="00941108">
          <w:rPr>
            <w:rFonts w:asciiTheme="minorEastAsia" w:hAnsiTheme="minorEastAsia"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48" w:rsidRDefault="00146D2E" w:rsidP="00EE0548">
    <w:pPr>
      <w:pStyle w:val="a6"/>
      <w:jc w:val="right"/>
    </w:pPr>
    <w:sdt>
      <w:sdtPr>
        <w:id w:val="25787875"/>
        <w:docPartObj>
          <w:docPartGallery w:val="Page Numbers (Bottom of Page)"/>
          <w:docPartUnique/>
        </w:docPartObj>
      </w:sdtPr>
      <w:sdtContent>
        <w:r w:rsidR="00EE0548" w:rsidRPr="00941108">
          <w:rPr>
            <w:rFonts w:asciiTheme="minorEastAsia" w:hAnsiTheme="minorEastAsia" w:hint="eastAsia"/>
            <w:sz w:val="28"/>
            <w:szCs w:val="28"/>
          </w:rPr>
          <w:t>－</w:t>
        </w:r>
        <w:r w:rsidRPr="00941108">
          <w:rPr>
            <w:rFonts w:asciiTheme="minorEastAsia" w:hAnsiTheme="minorEastAsia"/>
            <w:sz w:val="28"/>
            <w:szCs w:val="28"/>
          </w:rPr>
          <w:fldChar w:fldCharType="begin"/>
        </w:r>
        <w:r w:rsidR="00EE0548" w:rsidRPr="00941108">
          <w:rPr>
            <w:rFonts w:asciiTheme="minorEastAsia" w:hAnsiTheme="minorEastAsia"/>
            <w:sz w:val="28"/>
            <w:szCs w:val="28"/>
          </w:rPr>
          <w:instrText xml:space="preserve"> PAGE   \* MERGEFORMAT </w:instrText>
        </w:r>
        <w:r w:rsidRPr="00941108">
          <w:rPr>
            <w:rFonts w:asciiTheme="minorEastAsia" w:hAnsiTheme="minorEastAsia"/>
            <w:sz w:val="28"/>
            <w:szCs w:val="28"/>
          </w:rPr>
          <w:fldChar w:fldCharType="separate"/>
        </w:r>
        <w:r w:rsidR="008D3E6B" w:rsidRPr="008D3E6B">
          <w:rPr>
            <w:rFonts w:asciiTheme="minorEastAsia" w:hAnsiTheme="minorEastAsia"/>
            <w:noProof/>
            <w:sz w:val="28"/>
            <w:szCs w:val="28"/>
            <w:lang w:val="zh-CN"/>
          </w:rPr>
          <w:t>9</w:t>
        </w:r>
        <w:r w:rsidRPr="00941108">
          <w:rPr>
            <w:rFonts w:asciiTheme="minorEastAsia" w:hAnsiTheme="minorEastAsia"/>
            <w:sz w:val="28"/>
            <w:szCs w:val="28"/>
          </w:rPr>
          <w:fldChar w:fldCharType="end"/>
        </w:r>
        <w:r w:rsidR="00EE0548" w:rsidRPr="00941108">
          <w:rPr>
            <w:rFonts w:asciiTheme="minorEastAsia" w:hAnsiTheme="minorEastAsia"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2DB" w:rsidRDefault="008B62DB" w:rsidP="00EE0548">
      <w:r>
        <w:separator/>
      </w:r>
    </w:p>
  </w:footnote>
  <w:footnote w:type="continuationSeparator" w:id="0">
    <w:p w:rsidR="008B62DB" w:rsidRDefault="008B62DB" w:rsidP="00EE0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10A"/>
    <w:rsid w:val="00146D2E"/>
    <w:rsid w:val="0049395F"/>
    <w:rsid w:val="004E634F"/>
    <w:rsid w:val="005026C0"/>
    <w:rsid w:val="005A3155"/>
    <w:rsid w:val="00606B5D"/>
    <w:rsid w:val="008B62DB"/>
    <w:rsid w:val="008D3E6B"/>
    <w:rsid w:val="0090710A"/>
    <w:rsid w:val="009953E7"/>
    <w:rsid w:val="009D488F"/>
    <w:rsid w:val="00D85038"/>
    <w:rsid w:val="00EE0548"/>
    <w:rsid w:val="00EE39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88F"/>
    <w:pPr>
      <w:widowControl w:val="0"/>
      <w:jc w:val="both"/>
    </w:pPr>
  </w:style>
  <w:style w:type="paragraph" w:styleId="1">
    <w:name w:val="heading 1"/>
    <w:basedOn w:val="a"/>
    <w:next w:val="a"/>
    <w:link w:val="1Char"/>
    <w:qFormat/>
    <w:rsid w:val="0090710A"/>
    <w:pPr>
      <w:keepNext/>
      <w:keepLines/>
      <w:spacing w:line="600" w:lineRule="exact"/>
      <w:jc w:val="center"/>
      <w:outlineLvl w:val="0"/>
    </w:pPr>
    <w:rPr>
      <w:rFonts w:ascii="Times New Roman" w:eastAsia="方正小标宋简体" w:hAnsi="Times New Roman"/>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0710A"/>
    <w:rPr>
      <w:rFonts w:ascii="Times New Roman" w:eastAsia="方正小标宋简体" w:hAnsi="Times New Roman"/>
      <w:bCs/>
      <w:kern w:val="44"/>
      <w:sz w:val="44"/>
      <w:szCs w:val="44"/>
    </w:rPr>
  </w:style>
  <w:style w:type="paragraph" w:styleId="a3">
    <w:name w:val="Normal (Web)"/>
    <w:basedOn w:val="a"/>
    <w:uiPriority w:val="99"/>
    <w:unhideWhenUsed/>
    <w:qFormat/>
    <w:rsid w:val="009071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710A"/>
    <w:rPr>
      <w:b/>
      <w:bCs/>
    </w:rPr>
  </w:style>
  <w:style w:type="paragraph" w:styleId="a5">
    <w:name w:val="header"/>
    <w:basedOn w:val="a"/>
    <w:link w:val="Char"/>
    <w:uiPriority w:val="99"/>
    <w:semiHidden/>
    <w:unhideWhenUsed/>
    <w:rsid w:val="00EE0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E0548"/>
    <w:rPr>
      <w:sz w:val="18"/>
      <w:szCs w:val="18"/>
    </w:rPr>
  </w:style>
  <w:style w:type="paragraph" w:styleId="a6">
    <w:name w:val="footer"/>
    <w:basedOn w:val="a"/>
    <w:link w:val="Char0"/>
    <w:uiPriority w:val="99"/>
    <w:unhideWhenUsed/>
    <w:qFormat/>
    <w:rsid w:val="00EE0548"/>
    <w:pPr>
      <w:tabs>
        <w:tab w:val="center" w:pos="4153"/>
        <w:tab w:val="right" w:pos="8306"/>
      </w:tabs>
      <w:snapToGrid w:val="0"/>
      <w:jc w:val="left"/>
    </w:pPr>
    <w:rPr>
      <w:sz w:val="18"/>
      <w:szCs w:val="18"/>
    </w:rPr>
  </w:style>
  <w:style w:type="character" w:customStyle="1" w:styleId="Char0">
    <w:name w:val="页脚 Char"/>
    <w:basedOn w:val="a0"/>
    <w:link w:val="a6"/>
    <w:uiPriority w:val="99"/>
    <w:qFormat/>
    <w:rsid w:val="00EE054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A372BB-A232-49E5-92D1-E5FAAFC8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院办</dc:creator>
  <cp:lastModifiedBy>Administrator</cp:lastModifiedBy>
  <cp:revision>3</cp:revision>
  <dcterms:created xsi:type="dcterms:W3CDTF">2022-06-30T09:40:00Z</dcterms:created>
  <dcterms:modified xsi:type="dcterms:W3CDTF">2022-06-30T09:40:00Z</dcterms:modified>
</cp:coreProperties>
</file>